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Supplier Questionnaire</w:t>
      </w:r>
    </w:p>
    <w:p>
      <w:r>
        <w:rPr>
          <w:i/>
          <w:iCs/>
        </w:rPr>
        <w:t xml:space="preserve">An open, EU-anchored questionnaire for NIS 2 supplier due diligence</w:t>
      </w:r>
    </w:p>
    <w:p>
      <w:r>
        <w:rPr>
          <w:color w:val="666666"/>
          <w:sz w:val="18"/>
          <w:szCs w:val="18"/>
        </w:rPr>
        <w:t xml:space="preserve">Version 3.1.0 - Last updated 2026-05-15 - 59 fields across 6 sections</w:t>
      </w:r>
    </w:p>
    <w:p/>
    <w:p>
      <w:pPr>
        <w:jc w:val="both"/>
      </w:pPr>
      <w:r>
        <w:t xml:space="preserve">Every field is anchored to an EU-level primary source: NIS 2 Art. 21(2), CIR 2024/2690, ENISA Technical Implementation Guidance, GDPR Art. 28, or the Cyber Resilience Act. Sector overlays (TISAX, VDA ISA, BSI C5, KRITIS) sit on top of this baseline.</w:t>
      </w:r>
    </w:p>
    <w:p>
      <w:r>
        <w:rPr>
          <w:color w:val="666666"/>
          <w:sz w:val="18"/>
          <w:szCs w:val="18"/>
        </w:rPr>
        <w:t xml:space="preserve">Source: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Supplier Profile  (18 fields)</w:t>
      </w:r>
    </w:p>
    <w:p>
      <w:pPr>
        <w:pStyle w:val="Heading3"/>
      </w:pPr>
      <w:r>
        <w:rPr>
          <w:b/>
          <w:bCs/>
        </w:rPr>
        <w:t xml:space="preserve">Legal name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Required by CIR 2024/2690 §5.2(a) — supplier register entry.</w:t>
      </w:r>
    </w:p>
    <w:p/>
    <w:p>
      <w:pPr>
        <w:pStyle w:val="Heading3"/>
      </w:pPr>
      <w:r>
        <w:rPr>
          <w:b/>
          <w:bCs/>
        </w:rPr>
        <w:t xml:space="preserve">Registered address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Required by CIR 2024/2690 §5.2(a) — supplier register entry.</w:t>
      </w:r>
    </w:p>
    <w:p/>
    <w:p>
      <w:pPr>
        <w:pStyle w:val="Heading3"/>
      </w:pPr>
      <w:r>
        <w:rPr>
          <w:b/>
          <w:bCs/>
        </w:rPr>
        <w:t xml:space="preserve">Country</w:t>
      </w:r>
    </w:p>
    <w:p>
      <w:r>
        <w:rPr>
          <w:color w:val="666666"/>
          <w:sz w:val="18"/>
          <w:szCs w:val="18"/>
        </w:rPr>
        <w:t xml:space="preserve">[country]  Required  -  Legal basis: ENISA TIG §5.2</w:t>
      </w:r>
    </w:p>
    <w:p>
      <w:pPr>
        <w:jc w:val="both"/>
      </w:pPr>
      <w:r>
        <w:t xml:space="preserve">ISO 3166-1 alpha-2 code, e.g. DE, FR, IT.</w:t>
      </w:r>
    </w:p>
    <w:p/>
    <w:p>
      <w:pPr>
        <w:pStyle w:val="Heading3"/>
      </w:pPr>
      <w:r>
        <w:rPr>
          <w:b/>
          <w:bCs/>
        </w:rPr>
        <w:t xml:space="preserve">Primary domain</w:t>
      </w:r>
    </w:p>
    <w:p>
      <w:r>
        <w:rPr>
          <w:color w:val="666666"/>
          <w:sz w:val="18"/>
          <w:szCs w:val="18"/>
        </w:rPr>
        <w:t xml:space="preserve">[url]  Optional  -  Legal basis: ENISA TIG §5.2(b)</w:t>
      </w:r>
    </w:p>
    <w:p>
      <w:pPr>
        <w:jc w:val="both"/>
      </w:pPr>
      <w:r>
        <w:t xml:space="preserve">The supplier's primary public domain.</w:t>
      </w:r>
    </w:p>
    <w:p/>
    <w:p>
      <w:pPr>
        <w:pStyle w:val="Heading3"/>
      </w:pPr>
      <w:r>
        <w:rPr>
          <w:b/>
          <w:bCs/>
        </w:rPr>
        <w:t xml:space="preserve">Tagline (one line, customer-facing)</w:t>
      </w:r>
    </w:p>
    <w:p>
      <w:r>
        <w:rPr>
          <w:color w:val="666666"/>
          <w:sz w:val="18"/>
          <w:szCs w:val="18"/>
        </w:rPr>
        <w:t xml:space="preserve">[string]  Optional  -  Legal basis: ENISA TIG §5.2(b)</w:t>
      </w:r>
    </w:p>
    <w:p>
      <w:pPr>
        <w:jc w:val="both"/>
      </w:pPr>
      <w:r>
        <w:t xml:space="preserve">Short summary shown to customers.</w:t>
      </w:r>
    </w:p>
    <w:p/>
    <w:p>
      <w:pPr>
        <w:pStyle w:val="Heading3"/>
      </w:pPr>
      <w:r>
        <w:rPr>
          <w:b/>
          <w:bCs/>
        </w:rPr>
        <w:t xml:space="preserve">Public description (longer)</w:t>
      </w:r>
    </w:p>
    <w:p>
      <w:r>
        <w:rPr>
          <w:color w:val="666666"/>
          <w:sz w:val="18"/>
          <w:szCs w:val="18"/>
        </w:rPr>
        <w:t xml:space="preserve">[text]  Optional  -  Legal basis: ENISA TIG §5.2(b)</w:t>
      </w:r>
    </w:p>
    <w:p>
      <w:pPr>
        <w:jc w:val="both"/>
      </w:pPr>
      <w:r>
        <w:t xml:space="preserve">Longer description of the supplier.</w:t>
      </w:r>
    </w:p>
    <w:p/>
    <w:p>
      <w:pPr>
        <w:pStyle w:val="Heading3"/>
      </w:pPr>
      <w:r>
        <w:rPr>
          <w:b/>
          <w:bCs/>
        </w:rPr>
        <w:t xml:space="preserve">Description of services provided</w:t>
      </w:r>
    </w:p>
    <w:p>
      <w:r>
        <w:rPr>
          <w:color w:val="666666"/>
          <w:sz w:val="18"/>
          <w:szCs w:val="18"/>
        </w:rPr>
        <w:t xml:space="preserve">[text]  Required  -  Legal basis: ENISA TIG §5.2(b) + §5.1.4 TIPS</w:t>
      </w:r>
    </w:p>
    <w:p>
      <w:pPr>
        <w:jc w:val="both"/>
      </w:pPr>
      <w:r>
        <w:t xml:space="preserve">Required by ENISA TIG §5.2(b) + §5.1.4 TIPS — clear and complete description of the ICT products and services you provide. One paragraph.</w:t>
      </w:r>
    </w:p>
    <w:p/>
    <w:p>
      <w:pPr>
        <w:pStyle w:val="Heading3"/>
      </w:pPr>
      <w:r>
        <w:rPr>
          <w:b/>
          <w:bCs/>
        </w:rPr>
        <w:t xml:space="preserve">Countries / regions where customer data is processed</w:t>
      </w:r>
    </w:p>
    <w:p>
      <w:r>
        <w:rPr>
          <w:color w:val="666666"/>
          <w:sz w:val="18"/>
          <w:szCs w:val="18"/>
        </w:rPr>
        <w:t xml:space="preserve">[string]  Required  -  Legal basis: ENISA TIG §5.1.4 TIPS</w:t>
      </w:r>
    </w:p>
    <w:p>
      <w:pPr>
        <w:jc w:val="both"/>
      </w:pPr>
      <w:r>
        <w:t xml:space="preserve">Required by ENISA TIG §5.1.4 TIPS — list every country / region where your customers' data is produced, processed or stored. Comma-separated.</w:t>
      </w:r>
    </w:p>
    <w:p/>
    <w:p>
      <w:pPr>
        <w:pStyle w:val="Heading3"/>
      </w:pPr>
      <w:r>
        <w:rPr>
          <w:b/>
          <w:bCs/>
        </w:rPr>
        <w:t xml:space="preserve">Security contact name</w:t>
      </w:r>
    </w:p>
    <w:p>
      <w:r>
        <w:rPr>
          <w:color w:val="666666"/>
          <w:sz w:val="18"/>
          <w:szCs w:val="18"/>
        </w:rPr>
        <w:t xml:space="preserve">[string]  Required  -  Legal basis: CIR 2024/2690 §5.1.4(d)</w:t>
      </w:r>
    </w:p>
    <w:p>
      <w:pPr>
        <w:jc w:val="both"/>
      </w:pPr>
      <w:r>
        <w:t xml:space="preserve">Required by CIR 2024/2690 §5.1.4(d) — incident notification chain.</w:t>
      </w:r>
    </w:p>
    <w:p/>
    <w:p>
      <w:pPr>
        <w:pStyle w:val="Heading3"/>
      </w:pPr>
      <w:r>
        <w:rPr>
          <w:b/>
          <w:bCs/>
        </w:rPr>
        <w:t xml:space="preserve">Incident contact email</w:t>
      </w:r>
    </w:p>
    <w:p>
      <w:r>
        <w:rPr>
          <w:color w:val="666666"/>
          <w:sz w:val="18"/>
          <w:szCs w:val="18"/>
        </w:rPr>
        <w:t xml:space="preserve">[email]  Required  -  Legal basis: CIR 2024/2690 §5.1.4(d)</w:t>
      </w:r>
    </w:p>
    <w:p>
      <w:pPr>
        <w:jc w:val="both"/>
      </w:pPr>
      <w:r>
        <w:t xml:space="preserve">Default email used by customers for incident notifications.</w:t>
      </w:r>
    </w:p>
    <w:p/>
    <w:p>
      <w:pPr>
        <w:pStyle w:val="Heading3"/>
      </w:pPr>
      <w:r>
        <w:rPr>
          <w:b/>
          <w:bCs/>
        </w:rPr>
        <w:t xml:space="preserve">Incident contact phone (24/7)</w:t>
      </w:r>
    </w:p>
    <w:p>
      <w:r>
        <w:rPr>
          <w:color w:val="666666"/>
          <w:sz w:val="18"/>
          <w:szCs w:val="18"/>
        </w:rPr>
        <w:t xml:space="preserve">[phone]  Optional  -  Legal basis: CIR 2024/2690 §5.1.4(d)</w:t>
      </w:r>
    </w:p>
    <w:p>
      <w:pPr>
        <w:jc w:val="both"/>
      </w:pPr>
      <w:r>
        <w:t xml:space="preserve">24/7 phone for critical incident notifications.</w:t>
      </w:r>
    </w:p>
    <w:p/>
    <w:p>
      <w:pPr>
        <w:pStyle w:val="Heading3"/>
      </w:pPr>
      <w:r>
        <w:rPr>
          <w:b/>
          <w:bCs/>
        </w:rPr>
        <w:t xml:space="preserve">Incident notification SLA (hours)</w:t>
      </w:r>
    </w:p>
    <w:p>
      <w:r>
        <w:rPr>
          <w:color w:val="666666"/>
          <w:sz w:val="18"/>
          <w:szCs w:val="18"/>
        </w:rPr>
        <w:t xml:space="preserve">[integer]  Optional  -  Legal basis: NIS2 Art. 23</w:t>
      </w:r>
    </w:p>
    <w:p>
      <w:pPr>
        <w:jc w:val="both"/>
      </w:pPr>
      <w:r>
        <w:t xml:space="preserve">Maximum time from incident detection to customer notification.</w:t>
      </w:r>
    </w:p>
    <w:p/>
    <w:p>
      <w:pPr>
        <w:pStyle w:val="Heading3"/>
      </w:pPr>
      <w:r>
        <w:rPr>
          <w:b/>
          <w:bCs/>
        </w:rPr>
        <w:t xml:space="preserve">BSI registration ID (only if your company is itself NIS2-regulated)</w:t>
      </w:r>
    </w:p>
    <w:p>
      <w:r>
        <w:rPr>
          <w:color w:val="666666"/>
          <w:sz w:val="18"/>
          <w:szCs w:val="18"/>
        </w:rPr>
        <w:t xml:space="preserve">[string]  Optional  -  Legal basis: ENISA TIG §5.1.2</w:t>
      </w:r>
    </w:p>
    <w:p>
      <w:pPr>
        <w:jc w:val="both"/>
      </w:pPr>
      <w:r>
        <w:t xml:space="preserve">Optional. ENISA TIG §5.1.2 — if your company is itself a NIS2-regulated entity with a BSI registration, your customers can use this fact to satisfy their §5.1.2 supplier-selection criteria.</w:t>
      </w:r>
    </w:p>
    <w:p/>
    <w:p>
      <w:pPr>
        <w:pStyle w:val="Heading3"/>
      </w:pPr>
      <w:r>
        <w:rPr>
          <w:b/>
          <w:bCs/>
        </w:rPr>
        <w:t xml:space="preserve">We provide SaaS / hosted services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Determines which technical questions you'll see next. Pick all that apply.</w:t>
      </w:r>
    </w:p>
    <w:p/>
    <w:p>
      <w:pPr>
        <w:pStyle w:val="Heading3"/>
      </w:pPr>
      <w:r>
        <w:rPr>
          <w:b/>
          <w:bCs/>
        </w:rPr>
        <w:t xml:space="preserve">We deliver on-prem software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Software your customers install on their own hardware.</w:t>
      </w:r>
    </w:p>
    <w:p/>
    <w:p>
      <w:pPr>
        <w:pStyle w:val="Heading3"/>
      </w:pPr>
      <w:r>
        <w:rPr>
          <w:b/>
          <w:bCs/>
        </w:rPr>
        <w:t xml:space="preserve">We provide professional services / consulting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Consulting, implementation, training, audit work.</w:t>
      </w:r>
    </w:p>
    <w:p/>
    <w:p>
      <w:pPr>
        <w:pStyle w:val="Heading3"/>
      </w:pPr>
      <w:r>
        <w:rPr>
          <w:b/>
          <w:bCs/>
        </w:rPr>
        <w:t xml:space="preserve">We provide managed services / MSP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Operating the customer's IT under contract (MSP, MSSP).</w:t>
      </w:r>
    </w:p>
    <w:p/>
    <w:p>
      <w:pPr>
        <w:pStyle w:val="Heading3"/>
      </w:pPr>
      <w:r>
        <w:rPr>
          <w:b/>
          <w:bCs/>
        </w:rPr>
        <w:t xml:space="preserve">We use, integrate or provide AI systems</w:t>
      </w:r>
    </w:p>
    <w:p>
      <w:r>
        <w:rPr>
          <w:color w:val="666666"/>
          <w:sz w:val="18"/>
          <w:szCs w:val="18"/>
        </w:rPr>
        <w:t xml:space="preserve">[boolean]  Required  -  Legal basis: NIS2 Art. 21(2)(d)</w:t>
      </w:r>
    </w:p>
    <w:p>
      <w:pPr>
        <w:jc w:val="both"/>
      </w:pPr>
      <w:r>
        <w:t xml:space="preserve">Determines whether AI supply-chain disclosure questions appear next. Includes any AI / ML model the customer's data passes through, including third-party LLMs accessed via API.</w:t>
      </w:r>
    </w:p>
    <w:p/>
    <w:p>
      <w:pPr>
        <w:pStyle w:val="Heading1"/>
      </w:pPr>
      <w:r>
        <w:rPr>
          <w:b/>
          <w:bCs/>
        </w:rPr>
        <w:t xml:space="preserve">2. Security Practices  (26 fields)</w:t>
      </w:r>
    </w:p>
    <w:p>
      <w:pPr>
        <w:pStyle w:val="Heading3"/>
      </w:pPr>
      <w:r>
        <w:rPr>
          <w:b/>
          <w:bCs/>
        </w:rPr>
        <w:t xml:space="preserve">Documented Information Security Management System (ISMS)</w:t>
      </w:r>
    </w:p>
    <w:p>
      <w:r>
        <w:rPr>
          <w:color w:val="666666"/>
          <w:sz w:val="18"/>
          <w:szCs w:val="18"/>
        </w:rPr>
        <w:t xml:space="preserve">[boolean]  Required  -  Legal basis: CIR 2024/2690 §5.1.2(a)</w:t>
      </w:r>
    </w:p>
    <w:p>
      <w:pPr>
        <w:jc w:val="both"/>
      </w:pPr>
      <w:r>
        <w:t xml:space="preserve">Required by CIR 2024/2690 §5.1.2(a) — cybersecurity practices of suppliers.</w:t>
      </w:r>
    </w:p>
    <w:p/>
    <w:p>
      <w:pPr>
        <w:pStyle w:val="Heading3"/>
      </w:pPr>
      <w:r>
        <w:rPr>
          <w:b/>
          <w:bCs/>
        </w:rPr>
        <w:t xml:space="preserve">Hold ISO 27001, BSI Grundschutz, or equivalent certification</w:t>
      </w:r>
    </w:p>
    <w:p>
      <w:r>
        <w:rPr>
          <w:color w:val="666666"/>
          <w:sz w:val="18"/>
          <w:szCs w:val="18"/>
        </w:rPr>
        <w:t xml:space="preserve">[boolean]  Required  -  Legal basis: CIR 2024/2690 §5.1.2(b)</w:t>
      </w:r>
    </w:p>
    <w:p>
      <w:pPr>
        <w:jc w:val="both"/>
      </w:pPr>
      <w:r>
        <w:t xml:space="preserve">Required by CIR 2024/2690 §5.1.2(b). Upload the certificate via the Certifications tab.</w:t>
      </w:r>
    </w:p>
    <w:p/>
    <w:p>
      <w:pPr>
        <w:pStyle w:val="Heading3"/>
      </w:pPr>
      <w:r>
        <w:rPr>
          <w:b/>
          <w:bCs/>
        </w:rPr>
        <w:t xml:space="preserve">Annual security awareness training for all staff</w:t>
      </w:r>
    </w:p>
    <w:p>
      <w:r>
        <w:rPr>
          <w:color w:val="666666"/>
          <w:sz w:val="18"/>
          <w:szCs w:val="18"/>
        </w:rPr>
        <w:t xml:space="preserve">[boolean]  Required  -  Legal basis: CIR 2024/2690 §5.1.4(b)</w:t>
      </w:r>
    </w:p>
    <w:p>
      <w:pPr>
        <w:jc w:val="both"/>
      </w:pPr>
      <w:r>
        <w:t xml:space="preserve">Required by CIR 2024/2690 §5.1.4(b) — awareness, skills and training.</w:t>
      </w:r>
    </w:p>
    <w:p/>
    <w:p>
      <w:pPr>
        <w:pStyle w:val="Heading3"/>
      </w:pPr>
      <w:r>
        <w:rPr>
          <w:b/>
          <w:bCs/>
        </w:rPr>
        <w:t xml:space="preserve">Background checks on staff with customer data access</w:t>
      </w:r>
    </w:p>
    <w:p>
      <w:r>
        <w:rPr>
          <w:color w:val="666666"/>
          <w:sz w:val="18"/>
          <w:szCs w:val="18"/>
        </w:rPr>
        <w:t xml:space="preserve">[boolean]  Required  -  Legal basis: CIR 2024/2690 §5.1.4(c)</w:t>
      </w:r>
    </w:p>
    <w:p>
      <w:pPr>
        <w:jc w:val="both"/>
      </w:pPr>
      <w:r>
        <w:t xml:space="preserve">Required by CIR 2024/2690 §5.1.4(c) — verification of staff background.</w:t>
      </w:r>
    </w:p>
    <w:p/>
    <w:p>
      <w:pPr>
        <w:pStyle w:val="Heading3"/>
      </w:pPr>
      <w:r>
        <w:rPr>
          <w:b/>
          <w:bCs/>
        </w:rPr>
        <w:t xml:space="preserve">Documented vulnerability handling and patching process</w:t>
      </w:r>
    </w:p>
    <w:p>
      <w:r>
        <w:rPr>
          <w:color w:val="666666"/>
          <w:sz w:val="18"/>
          <w:szCs w:val="18"/>
        </w:rPr>
        <w:t xml:space="preserve">[boolean]  Required  -  Legal basis: CIR 2024/2690 §5.1.4(f)</w:t>
      </w:r>
    </w:p>
    <w:p>
      <w:pPr>
        <w:jc w:val="both"/>
      </w:pPr>
      <w:r>
        <w:t xml:space="preserve">Required by CIR 2024/2690 §5.1.4(f) — handle vulnerabilities that present a risk.</w:t>
      </w:r>
    </w:p>
    <w:p/>
    <w:p>
      <w:pPr>
        <w:pStyle w:val="Heading3"/>
      </w:pPr>
      <w:r>
        <w:rPr>
          <w:b/>
          <w:bCs/>
        </w:rPr>
        <w:t xml:space="preserve">Accept customer right to audit (or provide audit reports)</w:t>
      </w:r>
    </w:p>
    <w:p>
      <w:r>
        <w:rPr>
          <w:color w:val="666666"/>
          <w:sz w:val="18"/>
          <w:szCs w:val="18"/>
        </w:rPr>
        <w:t xml:space="preserve">[boolean]  Required  -  Legal basis: CIR 2024/2690 §5.1.4(e)</w:t>
      </w:r>
    </w:p>
    <w:p>
      <w:pPr>
        <w:jc w:val="both"/>
      </w:pPr>
      <w:r>
        <w:t xml:space="preserve">Required by CIR 2024/2690 §5.1.4(e) — right to audit or to receive audit reports.</w:t>
      </w:r>
    </w:p>
    <w:p/>
    <w:p>
      <w:pPr>
        <w:pStyle w:val="Heading3"/>
      </w:pPr>
      <w:r>
        <w:rPr>
          <w:b/>
          <w:bCs/>
        </w:rPr>
        <w:t xml:space="preserve">Use subprocessors / sub-suppliers</w:t>
      </w:r>
    </w:p>
    <w:p>
      <w:r>
        <w:rPr>
          <w:color w:val="666666"/>
          <w:sz w:val="18"/>
          <w:szCs w:val="18"/>
        </w:rPr>
        <w:t xml:space="preserve">[boolean]  Required  -  Legal basis: CIR 2024/2690 §5.1.4(g)</w:t>
      </w:r>
    </w:p>
    <w:p>
      <w:pPr>
        <w:jc w:val="both"/>
      </w:pPr>
      <w:r>
        <w:t xml:space="preserve">Required by CIR 2024/2690 §5.1.4(g) — subcontracting requirements.</w:t>
      </w:r>
    </w:p>
    <w:p/>
    <w:p>
      <w:pPr>
        <w:pStyle w:val="Heading3"/>
      </w:pPr>
      <w:r>
        <w:rPr>
          <w:b/>
          <w:bCs/>
        </w:rPr>
        <w:t xml:space="preserve">List of subprocessors</w:t>
      </w:r>
    </w:p>
    <w:p>
      <w:r>
        <w:rPr>
          <w:color w:val="666666"/>
          <w:sz w:val="18"/>
          <w:szCs w:val="18"/>
        </w:rPr>
        <w:t xml:space="preserve">[text]  Conditional  -  Legal basis: CIR 2024/2690 §5.1.4(g)</w:t>
      </w:r>
    </w:p>
    <w:p>
      <w:pPr>
        <w:jc w:val="both"/>
      </w:pPr>
      <w:r>
        <w:t xml:space="preserve">List the subprocessors and what they do for you. CIR 2024/2690 §5.1.4(g).</w:t>
      </w:r>
    </w:p>
    <w:p/>
    <w:p>
      <w:pPr>
        <w:pStyle w:val="Heading3"/>
      </w:pPr>
      <w:r>
        <w:rPr>
          <w:b/>
          <w:bCs/>
        </w:rPr>
        <w:t xml:space="preserve">Commit to return / destroy customer data on termination</w:t>
      </w:r>
    </w:p>
    <w:p>
      <w:r>
        <w:rPr>
          <w:color w:val="666666"/>
          <w:sz w:val="18"/>
          <w:szCs w:val="18"/>
        </w:rPr>
        <w:t xml:space="preserve">[boolean]  Required  -  Legal basis: CIR 2024/2690 §5.1.4(h)</w:t>
      </w:r>
    </w:p>
    <w:p>
      <w:pPr>
        <w:jc w:val="both"/>
      </w:pPr>
      <w:r>
        <w:t xml:space="preserve">Required by CIR 2024/2690 §5.1.4(h) — retrieval and disposal of information at termination.</w:t>
      </w:r>
    </w:p>
    <w:p/>
    <w:p>
      <w:pPr>
        <w:pStyle w:val="Heading3"/>
      </w:pPr>
      <w:r>
        <w:rPr>
          <w:b/>
          <w:bCs/>
        </w:rPr>
        <w:t xml:space="preserve">Standard data processing agreement (DPA) available</w:t>
      </w:r>
    </w:p>
    <w:p>
      <w:r>
        <w:rPr>
          <w:color w:val="666666"/>
          <w:sz w:val="18"/>
          <w:szCs w:val="18"/>
        </w:rPr>
        <w:t xml:space="preserve">[boolean]  Required  -  Legal basis: GDPR Art. 28</w:t>
      </w:r>
    </w:p>
    <w:p>
      <w:pPr>
        <w:jc w:val="both"/>
      </w:pPr>
      <w:r>
        <w:t xml:space="preserve">GDPR Art. 28 — written data processing agreement.</w:t>
      </w:r>
    </w:p>
    <w:p/>
    <w:p>
      <w:pPr>
        <w:pStyle w:val="Heading3"/>
      </w:pPr>
      <w:r>
        <w:rPr>
          <w:b/>
          <w:bCs/>
        </w:rPr>
        <w:t xml:space="preserve">Security policies reviewed at least annually</w:t>
      </w:r>
    </w:p>
    <w:p>
      <w:r>
        <w:rPr>
          <w:color w:val="666666"/>
          <w:sz w:val="18"/>
          <w:szCs w:val="18"/>
        </w:rPr>
        <w:t xml:space="preserve">[boolean]  Required  -  Legal basis: NIS2 Art. 21(2)(a) / ENISA TIG §1.1</w:t>
      </w:r>
    </w:p>
    <w:p>
      <w:pPr>
        <w:jc w:val="both"/>
      </w:pPr>
      <w:r>
        <w:t xml:space="preserve">Required by CIR 2024/2690 §5.1.1(c) — security policies must be reviewed and updated regularly.</w:t>
      </w:r>
    </w:p>
    <w:p/>
    <w:p>
      <w:pPr>
        <w:pStyle w:val="Heading3"/>
      </w:pPr>
      <w:r>
        <w:rPr>
          <w:b/>
          <w:bCs/>
        </w:rPr>
        <w:t xml:space="preserve">Documented incident response plan</w:t>
      </w:r>
    </w:p>
    <w:p>
      <w:r>
        <w:rPr>
          <w:color w:val="666666"/>
          <w:sz w:val="18"/>
          <w:szCs w:val="18"/>
        </w:rPr>
        <w:t xml:space="preserve">[boolean]  Required  -  Legal basis: NIS2 Art. 21(2)(b) / ENISA TIG §3</w:t>
      </w:r>
    </w:p>
    <w:p>
      <w:pPr>
        <w:jc w:val="both"/>
      </w:pPr>
      <w:r>
        <w:t xml:space="preserve">Required by CIR 2024/2690 §5.1.3 / NIS2 Art. 21(2)(b) — documented incident handling procedures.</w:t>
      </w:r>
    </w:p>
    <w:p/>
    <w:p>
      <w:pPr>
        <w:pStyle w:val="Heading3"/>
      </w:pPr>
      <w:r>
        <w:rPr>
          <w:b/>
          <w:bCs/>
        </w:rPr>
        <w:t xml:space="preserve">Documented business continuity / disaster recovery plan</w:t>
      </w:r>
    </w:p>
    <w:p>
      <w:r>
        <w:rPr>
          <w:color w:val="666666"/>
          <w:sz w:val="18"/>
          <w:szCs w:val="18"/>
        </w:rPr>
        <w:t xml:space="preserve">[boolean]  Required  -  Legal basis: NIS2 Art. 21(2)(c) / ENISA TIG §4</w:t>
      </w:r>
    </w:p>
    <w:p>
      <w:pPr>
        <w:jc w:val="both"/>
      </w:pPr>
      <w:r>
        <w:t xml:space="preserve">Required by CIR 2024/2690 §5.1.5 / NIS2 Art. 21(2)(c) — business continuity and crisis management.</w:t>
      </w:r>
    </w:p>
    <w:p/>
    <w:p>
      <w:pPr>
        <w:pStyle w:val="Heading3"/>
      </w:pPr>
      <w:r>
        <w:rPr>
          <w:b/>
          <w:bCs/>
        </w:rPr>
        <w:t xml:space="preserve">Documented cryptography policy</w:t>
      </w:r>
    </w:p>
    <w:p>
      <w:r>
        <w:rPr>
          <w:color w:val="666666"/>
          <w:sz w:val="18"/>
          <w:szCs w:val="18"/>
        </w:rPr>
        <w:t xml:space="preserve">[boolean]  Required  -  Legal basis: NIS2 Art. 21(2)(h) / ENISA TIG §9</w:t>
      </w:r>
    </w:p>
    <w:p>
      <w:pPr>
        <w:jc w:val="both"/>
      </w:pPr>
      <w:r>
        <w:t xml:space="preserve">Required by CIR 2024/2690 §5.1.6 / NIS2 Art. 21(2)(h) — policies and procedures regarding the use of cryptography.</w:t>
      </w:r>
    </w:p>
    <w:p/>
    <w:p>
      <w:pPr>
        <w:pStyle w:val="Heading3"/>
      </w:pPr>
      <w:r>
        <w:rPr>
          <w:b/>
          <w:bCs/>
        </w:rPr>
        <w:t xml:space="preserve">Privileged access management (PAM) for internal staff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§11.3</w:t>
      </w:r>
    </w:p>
    <w:p>
      <w:pPr>
        <w:jc w:val="both"/>
      </w:pPr>
      <w:r>
        <w:t xml:space="preserve">Required by CIR 2024/2690 §5.1.7 / NIS2 Art. 21(2)(i) — access control policies for privileged accounts.</w:t>
      </w:r>
    </w:p>
    <w:p/>
    <w:p>
      <w:pPr>
        <w:pStyle w:val="Heading3"/>
      </w:pPr>
      <w:r>
        <w:rPr>
          <w:b/>
          <w:bCs/>
        </w:rPr>
        <w:t xml:space="preserve">MFA enforced for all internal admin / privileged accounts</w:t>
      </w:r>
    </w:p>
    <w:p>
      <w:r>
        <w:rPr>
          <w:color w:val="666666"/>
          <w:sz w:val="18"/>
          <w:szCs w:val="18"/>
        </w:rPr>
        <w:t xml:space="preserve">[boolean]  Required  -  Legal basis: NIS2 Art. 21(2)(j)</w:t>
      </w:r>
    </w:p>
    <w:p>
      <w:pPr>
        <w:jc w:val="both"/>
      </w:pPr>
      <w:r>
        <w:t xml:space="preserve">Required by NIS2 Art. 21(2)(j) — multi-factor authentication for accounts with elevated privileges.</w:t>
      </w:r>
    </w:p>
    <w:p/>
    <w:p>
      <w:pPr>
        <w:pStyle w:val="Heading3"/>
      </w:pPr>
      <w:r>
        <w:rPr>
          <w:b/>
          <w:bCs/>
        </w:rPr>
        <w:t xml:space="preserve">Maintain an inventory of information assets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§12.4</w:t>
      </w:r>
    </w:p>
    <w:p>
      <w:pPr>
        <w:jc w:val="both"/>
      </w:pPr>
      <w:r>
        <w:t xml:space="preserve">Required by CIR 2024/2690 §5.1.8 / NIS2 Art. 21(2)(i) — asset management.</w:t>
      </w:r>
    </w:p>
    <w:p/>
    <w:p>
      <w:pPr>
        <w:pStyle w:val="Heading3"/>
      </w:pPr>
      <w:r>
        <w:rPr>
          <w:b/>
          <w:bCs/>
        </w:rPr>
        <w:t xml:space="preserve">Annual or biennial penetration testing program</w:t>
      </w:r>
    </w:p>
    <w:p>
      <w:r>
        <w:rPr>
          <w:color w:val="666666"/>
          <w:sz w:val="18"/>
          <w:szCs w:val="18"/>
        </w:rPr>
        <w:t xml:space="preserve">[boolean]  Required  -  Legal basis: NIS2 Art. 21(2)(e) / ENISA TIG §6.5</w:t>
      </w:r>
    </w:p>
    <w:p>
      <w:pPr>
        <w:jc w:val="both"/>
      </w:pPr>
      <w:r>
        <w:t xml:space="preserve">Required by CIR 2024/2690 §5.1.12 — testing of cybersecurity risk-management measures.</w:t>
      </w:r>
    </w:p>
    <w:p/>
    <w:p>
      <w:pPr>
        <w:pStyle w:val="Heading3"/>
      </w:pPr>
      <w:r>
        <w:rPr>
          <w:b/>
          <w:bCs/>
        </w:rPr>
        <w:t xml:space="preserve">We disclose past notifiable cybersecurity events when asked by customers</w:t>
      </w:r>
    </w:p>
    <w:p>
      <w:r>
        <w:rPr>
          <w:color w:val="666666"/>
          <w:sz w:val="18"/>
          <w:szCs w:val="18"/>
        </w:rPr>
        <w:t xml:space="preserve">[boolean]  Required  -  Legal basis: ENISA TIG §5.1.2</w:t>
      </w:r>
    </w:p>
    <w:p>
      <w:pPr>
        <w:jc w:val="both"/>
      </w:pPr>
      <w:r>
        <w:t xml:space="preserve">ENISA TIG §5.1.2 — selection criteria require entities to consider 'the supplier's history in relation to cybersecurity events and breaches'.</w:t>
      </w:r>
    </w:p>
    <w:p/>
    <w:p>
      <w:pPr>
        <w:pStyle w:val="Heading3"/>
      </w:pPr>
      <w:r>
        <w:rPr>
          <w:b/>
          <w:bCs/>
        </w:rPr>
        <w:t xml:space="preserve">Provide incident assistance to customers at no / ex-ante cost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supplier obligation to assist the customer at no / ex-ante cost during a cyber incident caused by the ICT product or service.</w:t>
      </w:r>
    </w:p>
    <w:p/>
    <w:p>
      <w:pPr>
        <w:pStyle w:val="Heading3"/>
      </w:pPr>
      <w:r>
        <w:rPr>
          <w:b/>
          <w:bCs/>
        </w:rPr>
        <w:t xml:space="preserve">Fully cooperate with competent authorities (BSI, ENISA, national CSIRTs)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supplier obligation to fully cooperate with competent authorities during inspections, audits and incident handling.</w:t>
      </w:r>
    </w:p>
    <w:p/>
    <w:p>
      <w:pPr>
        <w:pStyle w:val="Heading3"/>
      </w:pPr>
      <w:r>
        <w:rPr>
          <w:b/>
          <w:bCs/>
        </w:rPr>
        <w:t xml:space="preserve">Notify customers of any material change affecting service delivery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notification of any development that might have a material impact on the supplier's ability to effectively provide the ICT products or services.</w:t>
      </w:r>
    </w:p>
    <w:p/>
    <w:p>
      <w:pPr>
        <w:pStyle w:val="Heading3"/>
      </w:pPr>
      <w:r>
        <w:rPr>
          <w:b/>
          <w:bCs/>
        </w:rPr>
        <w:t xml:space="preserve">Notify customers in advance if data-processing locations change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notify the customer in advance if data-processing locations envisaged to change.</w:t>
      </w:r>
    </w:p>
    <w:p/>
    <w:p>
      <w:pPr>
        <w:pStyle w:val="Heading3"/>
      </w:pPr>
      <w:r>
        <w:rPr>
          <w:b/>
          <w:bCs/>
        </w:rPr>
        <w:t xml:space="preserve">Documented exit strategy with mandatory transition period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exit strategy with a mandatory adequate transition period, IP provisions and supplier responsibilities during the exit period.</w:t>
      </w:r>
    </w:p>
    <w:p/>
    <w:p>
      <w:pPr>
        <w:pStyle w:val="Heading3"/>
      </w:pPr>
      <w:r>
        <w:rPr>
          <w:b/>
          <w:bCs/>
        </w:rPr>
        <w:t xml:space="preserve">Provide an SBOM-for-AI per G7 minimum elements</w:t>
      </w:r>
    </w:p>
    <w:p>
      <w:r>
        <w:rPr>
          <w:color w:val="666666"/>
          <w:sz w:val="18"/>
          <w:szCs w:val="18"/>
        </w:rPr>
        <w:t xml:space="preserve">[boolean]  Conditional  -  Legal basis: NIS2 Art. 21(2)(d) / ENISA TIG §5.1.2</w:t>
      </w:r>
    </w:p>
    <w:p>
      <w:pPr>
        <w:jc w:val="both"/>
      </w:pPr>
      <w:r>
        <w:t xml:space="preserve">G7 cybersecurity authorities (BSI, ACN, CISA et al.) and the EU Commission published 'Software Bill of Materials (SBOM) for Artificial Intelligence — Minimum Elements' on 12 May 2026. Voluntary baseline reference for AI supply-chain transparency under NIS2 Art. 21(2)(d). Covers seven clusters: metadata, models, dataset properties, infrastructure, security properties, KPIs, system-level properties.</w:t>
      </w:r>
    </w:p>
    <w:p/>
    <w:p>
      <w:pPr>
        <w:pStyle w:val="Heading3"/>
      </w:pPr>
      <w:r>
        <w:rPr>
          <w:b/>
          <w:bCs/>
        </w:rPr>
        <w:t xml:space="preserve">SBOM-for-AI document URL</w:t>
      </w:r>
    </w:p>
    <w:p>
      <w:r>
        <w:rPr>
          <w:color w:val="666666"/>
          <w:sz w:val="18"/>
          <w:szCs w:val="18"/>
        </w:rPr>
        <w:t xml:space="preserve">[url]  Conditional  -  Legal basis: NIS2 Art. 21(2)(d) / ENISA TIG §5.1.2</w:t>
      </w:r>
    </w:p>
    <w:p>
      <w:pPr>
        <w:jc w:val="both"/>
      </w:pPr>
      <w:r>
        <w:t xml:space="preserve">Public or customer-shared URL pointing to the supplier's SBOM-for-AI document.</w:t>
      </w:r>
    </w:p>
    <w:p/>
    <w:p>
      <w:pPr>
        <w:pStyle w:val="Heading1"/>
      </w:pPr>
      <w:r>
        <w:rPr>
          <w:b/>
          <w:bCs/>
        </w:rPr>
        <w:t xml:space="preserve">3. SaaS-specific  (5 fields)</w:t>
      </w:r>
    </w:p>
    <w:p>
      <w:pPr>
        <w:pStyle w:val="Heading3"/>
      </w:pPr>
      <w:r>
        <w:rPr>
          <w:b/>
          <w:bCs/>
        </w:rPr>
        <w:t xml:space="preserve">Hosting region</w:t>
      </w:r>
    </w:p>
    <w:p>
      <w:r>
        <w:rPr>
          <w:color w:val="666666"/>
          <w:sz w:val="18"/>
          <w:szCs w:val="18"/>
        </w:rPr>
        <w:t xml:space="preserve">[string]  Conditional  -  Legal basis: ENISA TIG §5.2</w:t>
      </w:r>
    </w:p>
    <w:p>
      <w:pPr>
        <w:jc w:val="both"/>
      </w:pPr>
      <w:r>
        <w:t xml:space="preserve">BSI IT-Grundschutz OPS.2.2 Cloud-Nutzung — where customer data is stored.</w:t>
      </w:r>
    </w:p>
    <w:p/>
    <w:p>
      <w:pPr>
        <w:pStyle w:val="Heading3"/>
      </w:pPr>
      <w:r>
        <w:rPr>
          <w:b/>
          <w:bCs/>
        </w:rPr>
        <w:t xml:space="preserve">Encryption at rest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BSI IT-Grundschutz OPS.2.2.A11. AES-256 or equivalent.</w:t>
      </w:r>
    </w:p>
    <w:p/>
    <w:p>
      <w:pPr>
        <w:pStyle w:val="Heading3"/>
      </w:pPr>
      <w:r>
        <w:rPr>
          <w:b/>
          <w:bCs/>
        </w:rPr>
        <w:t xml:space="preserve">Encryption in transit (TLS ≥ 1.2)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BSI IT-Grundschutz OPS.2.2.A11. TLS 1.2 minimum, TLS 1.3 preferred.</w:t>
      </w:r>
    </w:p>
    <w:p/>
    <w:p>
      <w:pPr>
        <w:pStyle w:val="Heading3"/>
      </w:pPr>
      <w:r>
        <w:rPr>
          <w:b/>
          <w:bCs/>
        </w:rPr>
        <w:t xml:space="preserve">MFA enforced for all admin accounts</w:t>
      </w:r>
    </w:p>
    <w:p>
      <w:r>
        <w:rPr>
          <w:color w:val="666666"/>
          <w:sz w:val="18"/>
          <w:szCs w:val="18"/>
        </w:rPr>
        <w:t xml:space="preserve">[boolean]  Conditional  -  Legal basis: NIS2 Art. 21(2)(j) / ENISA TIG §11.3</w:t>
      </w:r>
    </w:p>
    <w:p>
      <w:pPr>
        <w:jc w:val="both"/>
      </w:pPr>
      <w:r>
        <w:t xml:space="preserve">BSI IT-Grundschutz ORP.4.A23 — second-factor authentication for privileged accounts.</w:t>
      </w:r>
    </w:p>
    <w:p/>
    <w:p>
      <w:pPr>
        <w:pStyle w:val="Heading3"/>
      </w:pPr>
      <w:r>
        <w:rPr>
          <w:b/>
          <w:bCs/>
        </w:rPr>
        <w:t xml:space="preserve">Recovery time objective (RTO) in hours</w:t>
      </w:r>
    </w:p>
    <w:p>
      <w:r>
        <w:rPr>
          <w:color w:val="666666"/>
          <w:sz w:val="18"/>
          <w:szCs w:val="18"/>
        </w:rPr>
        <w:t xml:space="preserve">[integer]  Conditional  -  Legal basis: NIS2 Art. 21(2)(c) / ENISA TIG §4</w:t>
      </w:r>
    </w:p>
    <w:p>
      <w:pPr>
        <w:jc w:val="both"/>
      </w:pPr>
      <w:r>
        <w:t xml:space="preserve">BSI IT-Grundschutz DER.4 — maximum tolerated downtime for customer service.</w:t>
      </w:r>
    </w:p>
    <w:p/>
    <w:p>
      <w:pPr>
        <w:pStyle w:val="Heading1"/>
      </w:pPr>
      <w:r>
        <w:rPr>
          <w:b/>
          <w:bCs/>
        </w:rPr>
        <w:t xml:space="preserve">4. On-Premise-specific  (4 fields)</w:t>
      </w:r>
    </w:p>
    <w:p>
      <w:pPr>
        <w:pStyle w:val="Heading3"/>
      </w:pPr>
      <w:r>
        <w:rPr>
          <w:b/>
          <w:bCs/>
        </w:rPr>
        <w:t xml:space="preserve">Provide a Software Bill of Materials (SBOM)</w:t>
      </w:r>
    </w:p>
    <w:p>
      <w:r>
        <w:rPr>
          <w:color w:val="666666"/>
          <w:sz w:val="18"/>
          <w:szCs w:val="18"/>
        </w:rPr>
        <w:t xml:space="preserve">[boolean]  Conditional  -  Legal basis: CRA / NIS2 Art. 21(2)(d)</w:t>
      </w:r>
    </w:p>
    <w:p>
      <w:pPr>
        <w:jc w:val="both"/>
      </w:pPr>
      <w:r>
        <w:t xml:space="preserve">CRA / NIS2 supply-chain transparency. Format: CycloneDX or SPDX.</w:t>
      </w:r>
    </w:p>
    <w:p/>
    <w:p>
      <w:pPr>
        <w:pStyle w:val="Heading3"/>
      </w:pPr>
      <w:r>
        <w:rPr>
          <w:b/>
          <w:bCs/>
        </w:rPr>
        <w:t xml:space="preserve">Releases are cryptographically signed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§6.5</w:t>
      </w:r>
    </w:p>
    <w:p>
      <w:pPr>
        <w:jc w:val="both"/>
      </w:pPr>
      <w:r>
        <w:t xml:space="preserve">BSI IT-Grundschutz CON.8 Software-Entwicklung — signed releases prevent supply-chain tampering.</w:t>
      </w:r>
    </w:p>
    <w:p/>
    <w:p>
      <w:pPr>
        <w:pStyle w:val="Heading3"/>
      </w:pPr>
      <w:r>
        <w:rPr>
          <w:b/>
          <w:bCs/>
        </w:rPr>
        <w:t xml:space="preserve">Published vulnerability disclosure policy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§3</w:t>
      </w:r>
    </w:p>
    <w:p>
      <w:pPr>
        <w:jc w:val="both"/>
      </w:pPr>
      <w:r>
        <w:t xml:space="preserve">BSI IT-Grundschutz CON.10. Public security.txt or contact for vulnerability reports.</w:t>
      </w:r>
    </w:p>
    <w:p/>
    <w:p>
      <w:pPr>
        <w:pStyle w:val="Heading3"/>
      </w:pPr>
      <w:r>
        <w:rPr>
          <w:b/>
          <w:bCs/>
        </w:rPr>
        <w:t xml:space="preserve">Patch SLA for critical CVEs (hours)</w:t>
      </w:r>
    </w:p>
    <w:p>
      <w:r>
        <w:rPr>
          <w:color w:val="666666"/>
          <w:sz w:val="18"/>
          <w:szCs w:val="18"/>
        </w:rPr>
        <w:t xml:space="preserve">[integer]  Conditional  -  Legal basis: CIR 2024/2690 §5.1.4(f)</w:t>
      </w:r>
    </w:p>
    <w:p>
      <w:pPr>
        <w:jc w:val="both"/>
      </w:pPr>
      <w:r>
        <w:t xml:space="preserve">Time from CVE disclosure to patch availability for critical vulnerabilities.</w:t>
      </w:r>
    </w:p>
    <w:p/>
    <w:p>
      <w:pPr>
        <w:pStyle w:val="Heading1"/>
      </w:pPr>
      <w:r>
        <w:rPr>
          <w:b/>
          <w:bCs/>
        </w:rPr>
        <w:t xml:space="preserve">5. Professional Services  (3 fields)</w:t>
      </w:r>
    </w:p>
    <w:p>
      <w:pPr>
        <w:pStyle w:val="Heading3"/>
      </w:pPr>
      <w:r>
        <w:rPr>
          <w:b/>
          <w:bCs/>
        </w:rPr>
        <w:t xml:space="preserve">Background check scope</w:t>
      </w:r>
    </w:p>
    <w:p>
      <w:r>
        <w:rPr>
          <w:color w:val="666666"/>
          <w:sz w:val="18"/>
          <w:szCs w:val="18"/>
        </w:rPr>
        <w:t xml:space="preserve">[string]  Conditional  -  Legal basis: NIS2 Art. 21(2)(i) / CIR 2024/2690 §5.1.4(c)</w:t>
      </w:r>
    </w:p>
    <w:p>
      <w:pPr>
        <w:jc w:val="both"/>
      </w:pPr>
      <w:r>
        <w:t xml:space="preserve">BSI IT-Grundschutz ORP.2.A14 — staff vetting for sensitive roles.</w:t>
      </w:r>
    </w:p>
    <w:p/>
    <w:p>
      <w:pPr>
        <w:pStyle w:val="Heading3"/>
      </w:pPr>
      <w:r>
        <w:rPr>
          <w:b/>
          <w:bCs/>
        </w:rPr>
        <w:t xml:space="preserve">NDA in place with all consultants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§11.4</w:t>
      </w:r>
    </w:p>
    <w:p>
      <w:pPr>
        <w:jc w:val="both"/>
      </w:pPr>
      <w:r>
        <w:t xml:space="preserve">BSI IT-Grundschutz ORP.2.A2 — confidentiality agreements with all consultants.</w:t>
      </w:r>
    </w:p>
    <w:p/>
    <w:p>
      <w:pPr>
        <w:pStyle w:val="Heading3"/>
      </w:pPr>
      <w:r>
        <w:rPr>
          <w:b/>
          <w:bCs/>
        </w:rPr>
        <w:t xml:space="preserve">Documented customer-premises behaviour policy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BSI IT-Grundschutz ORP.3.A4 — security awareness on customer premises.</w:t>
      </w:r>
    </w:p>
    <w:p/>
    <w:p>
      <w:pPr>
        <w:pStyle w:val="Heading1"/>
      </w:pPr>
      <w:r>
        <w:rPr>
          <w:b/>
          <w:bCs/>
        </w:rPr>
        <w:t xml:space="preserve">6. Managed Services  (3 fields)</w:t>
      </w:r>
    </w:p>
    <w:p>
      <w:pPr>
        <w:pStyle w:val="Heading3"/>
      </w:pPr>
      <w:r>
        <w:rPr>
          <w:b/>
          <w:bCs/>
        </w:rPr>
        <w:t xml:space="preserve">Privileged access management (PAM) in place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BSI IT-Grundschutz ORP.4.A26 — PAM for administrative remote access.</w:t>
      </w:r>
    </w:p>
    <w:p/>
    <w:p>
      <w:pPr>
        <w:pStyle w:val="Heading3"/>
      </w:pPr>
      <w:r>
        <w:rPr>
          <w:b/>
          <w:bCs/>
        </w:rPr>
        <w:t xml:space="preserve">Admin sessions are recorded</w:t>
      </w:r>
    </w:p>
    <w:p>
      <w:r>
        <w:rPr>
          <w:color w:val="666666"/>
          <w:sz w:val="18"/>
          <w:szCs w:val="18"/>
        </w:rPr>
        <w:t xml:space="preserve">[boolean]  Conditional  -  Legal basis: NIS2 Art. 21(2)(f) / ENISA TIG §10</w:t>
      </w:r>
    </w:p>
    <w:p>
      <w:pPr>
        <w:jc w:val="both"/>
      </w:pPr>
      <w:r>
        <w:t xml:space="preserve">BSI IT-Grundschutz OPS.1.2.5.A11 — recorded remote maintenance sessions.</w:t>
      </w:r>
    </w:p>
    <w:p/>
    <w:p>
      <w:pPr>
        <w:pStyle w:val="Heading3"/>
      </w:pPr>
      <w:r>
        <w:rPr>
          <w:b/>
          <w:bCs/>
        </w:rPr>
        <w:t xml:space="preserve">24/7 on-call coverage</w:t>
      </w:r>
    </w:p>
    <w:p>
      <w:r>
        <w:rPr>
          <w:color w:val="666666"/>
          <w:sz w:val="18"/>
          <w:szCs w:val="18"/>
        </w:rPr>
        <w:t xml:space="preserve">[boolean]  Conditional  -  Legal basis: NIS2 Art. 21(2)(b) / ENISA TIG §3</w:t>
      </w:r>
    </w:p>
    <w:p>
      <w:pPr>
        <w:jc w:val="both"/>
      </w:pPr>
      <w:r>
        <w:t xml:space="preserve">BSI IT-Grundschutz DER.2.1 — incident detection and response coverage.</w:t>
      </w:r>
    </w:p>
    <w:p/>
    <w:p>
      <w:r>
        <w:rPr>
          <w:color w:val="888888"/>
          <w:sz w:val="18"/>
          <w:szCs w:val="18"/>
        </w:rPr>
        <w:t xml:space="preserve">License: MIT (schema) + CC BY 4.0 (content). Free to use, fork, and adapt.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Supplier Questionnaire</dc:title>
  <dc:creator>NISD2</dc:creator>
  <dc:description>An open, EU-anchored questionnaire for NIS 2 supplier due diligence</dc:description>
  <cp:lastModifiedBy>Un-named</cp:lastModifiedBy>
  <cp:revision>1</cp:revision>
  <dcterms:created xsi:type="dcterms:W3CDTF">2026-05-28T21:02:43.961Z</dcterms:created>
  <dcterms:modified xsi:type="dcterms:W3CDTF">2026-05-28T21:02:43.961Z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