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Cuestionario para proveedores NIS 2</w:t>
      </w:r>
    </w:p>
    <w:p>
      <w:r>
        <w:rPr>
          <w:i/>
          <w:iCs/>
        </w:rPr>
        <w:t xml:space="preserve">Un cuestionario abierto y anclado en el derecho de la UE para la evaluación de proveedores conforme a NIS 2</w:t>
      </w:r>
    </w:p>
    <w:p>
      <w:r>
        <w:rPr>
          <w:color w:val="666666"/>
          <w:sz w:val="18"/>
          <w:szCs w:val="18"/>
        </w:rPr>
        <w:t xml:space="preserve">Versión 4.0.0 - Última actualización 2026-10-04 - 53 campos en 4 secciones</w:t>
      </w:r>
    </w:p>
    <w:p/>
    <w:p>
      <w:pPr>
        <w:jc w:val="both"/>
      </w:pPr>
      <w:r>
        <w:t xml:space="preserve">Cada pregunta indica su fuente a nivel de la UE: el Reglamento de Ejecución (UE) 2024/2690, la Technical Implementation Guidance de ENISA, el RGPD o el Cyber Resilience Act. Cuando sirve a controles del anexo A de la ISO/IEC 27001:2022, estos figuran al lado. Todo proveedor responde 21 preguntas; cada una de las demás indica la respuesta de la que depende. Eso se deriva de a qué accede el proveedor en sus clientes: sus datos, sus sistemas, sus instalaciones, o el software que opera o entrega. Los complementos sectoriales (TISAX, VDA ISA, BSI C5, KRITIS) se añaden a esta base.</w:t>
      </w:r>
    </w:p>
    <w:p>
      <w:r>
        <w:rPr>
          <w:color w:val="666666"/>
          <w:sz w:val="18"/>
          <w:szCs w:val="18"/>
        </w:rPr>
        <w:t xml:space="preserve">Fuente: github.com/NISD2/nis2-supply-chain-questionnaire-schema (MIT + CC BY 4.0)</w:t>
      </w:r>
    </w:p>
    <w:p/>
    <w:p>
      <w:pPr>
        <w:pStyle w:val="Heading1"/>
      </w:pPr>
      <w:r>
        <w:rPr>
          <w:b/>
          <w:bCs/>
        </w:rPr>
        <w:t xml:space="preserve">1. Perfil del proveedor  (16 campos)</w:t>
      </w:r>
    </w:p>
    <w:p>
      <w:pPr>
        <w:pStyle w:val="Heading3"/>
      </w:pPr>
      <w:r>
        <w:rPr>
          <w:b/>
          <w:bCs/>
        </w:rPr>
        <w:t xml:space="preserve">Razón social</w:t>
      </w:r>
    </w:p>
    <w:p>
      <w:r>
        <w:rPr>
          <w:color w:val="666666"/>
          <w:sz w:val="18"/>
          <w:szCs w:val="18"/>
        </w:rPr>
        <w:t xml:space="preserve">[string]  ·  Obligatorio  ·  Base jurídica: CIR 2024/2690 §5.2</w:t>
      </w:r>
    </w:p>
    <w:p>
      <w:pPr>
        <w:jc w:val="both"/>
      </w:pPr>
      <w:r>
        <w:t xml:space="preserve">El nombre registrado de su empresa, tal como aparece en el registro mercantil. Ejemplo: Müller GmbH o Acme Software Ltd.</w:t>
      </w:r>
    </w:p>
    <w:p/>
    <w:p>
      <w:pPr>
        <w:pStyle w:val="Heading3"/>
      </w:pPr>
      <w:r>
        <w:rPr>
          <w:b/>
          <w:bCs/>
        </w:rPr>
        <w:t xml:space="preserve">Domicilio social</w:t>
      </w:r>
    </w:p>
    <w:p>
      <w:r>
        <w:rPr>
          <w:color w:val="666666"/>
          <w:sz w:val="18"/>
          <w:szCs w:val="18"/>
        </w:rPr>
        <w:t xml:space="preserve">[string]  ·  Obligatorio  ·  Base jurídica: CIR 2024/2690 §5.2</w:t>
      </w:r>
    </w:p>
    <w:p>
      <w:pPr>
        <w:jc w:val="both"/>
      </w:pPr>
      <w:r>
        <w:t xml:space="preserve">El domicilio comercial registrado de su empresa. Basta con una dirección, aunque tenga varias ubicaciones.</w:t>
      </w:r>
    </w:p>
    <w:p/>
    <w:p>
      <w:pPr>
        <w:pStyle w:val="Heading3"/>
      </w:pPr>
      <w:r>
        <w:rPr>
          <w:b/>
          <w:bCs/>
        </w:rPr>
        <w:t xml:space="preserve">País</w:t>
      </w:r>
    </w:p>
    <w:p>
      <w:r>
        <w:rPr>
          <w:color w:val="666666"/>
          <w:sz w:val="18"/>
          <w:szCs w:val="18"/>
        </w:rPr>
        <w:t xml:space="preserve">[country]  ·  Obligatorio  ·  Base jurídica: CIR 2024/2690 §5.2</w:t>
      </w:r>
    </w:p>
    <w:p>
      <w:pPr>
        <w:jc w:val="both"/>
      </w:pPr>
      <w:r>
        <w:t xml:space="preserve">El país donde su empresa está legalmente establecida. Dos letras, por ejemplo DE para Alemania.</w:t>
      </w:r>
    </w:p>
    <w:p/>
    <w:p>
      <w:pPr>
        <w:pStyle w:val="Heading3"/>
      </w:pPr>
      <w:r>
        <w:rPr>
          <w:b/>
          <w:bCs/>
        </w:rPr>
        <w:t xml:space="preserve">Dominio principal</w:t>
      </w:r>
    </w:p>
    <w:p>
      <w:r>
        <w:rPr>
          <w:color w:val="666666"/>
          <w:sz w:val="18"/>
          <w:szCs w:val="18"/>
        </w:rPr>
        <w:t xml:space="preserve">[domain]  ·  Opcional  ·  Base jurídica: CIR 2024/2690 §5.2(a)</w:t>
      </w:r>
    </w:p>
    <w:p>
      <w:pPr>
        <w:jc w:val="both"/>
      </w:pPr>
      <w:r>
        <w:t xml:space="preserve">Su dominio principal, normalmente la URL de su sitio web. Ejemplo: acmesoftware.com.</w:t>
      </w:r>
    </w:p>
    <w:p/>
    <w:p>
      <w:pPr>
        <w:pStyle w:val="Heading3"/>
      </w:pPr>
      <w:r>
        <w:rPr>
          <w:b/>
          <w:bCs/>
        </w:rPr>
        <w:t xml:space="preserve">Description of services provided</w:t>
      </w:r>
    </w:p>
    <w:p>
      <w:r>
        <w:rPr>
          <w:color w:val="666666"/>
          <w:sz w:val="18"/>
          <w:szCs w:val="18"/>
        </w:rPr>
        <w:t xml:space="preserve">[text]  ·  Obligatorio  ·  Base jurídica: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Nombre del contacto de seguridad</w:t>
      </w:r>
    </w:p>
    <w:p>
      <w:r>
        <w:rPr>
          <w:color w:val="666666"/>
          <w:sz w:val="18"/>
          <w:szCs w:val="18"/>
        </w:rPr>
        <w:t xml:space="preserve">[string]  ·  Obligatorio  ·  Base jurídica: CIR 2024/2690 §5.2(a)  ·  ISO/IEC 27001:2022 A.5.20, A.5.24</w:t>
      </w:r>
    </w:p>
    <w:p>
      <w:pPr>
        <w:jc w:val="both"/>
      </w:pPr>
      <w:r>
        <w:t xml:space="preserve">La persona a la que los clientes contactan cuando se produce un incidente de seguridad. En las empresas más pequeñas suele ser el director general o el responsable de TI. Basta con una persona.</w:t>
      </w:r>
    </w:p>
    <w:p/>
    <w:p>
      <w:pPr>
        <w:pStyle w:val="Heading3"/>
      </w:pPr>
      <w:r>
        <w:rPr>
          <w:b/>
          <w:bCs/>
        </w:rPr>
        <w:t xml:space="preserve">Correo electrónico de contacto para incidentes</w:t>
      </w:r>
    </w:p>
    <w:p>
      <w:r>
        <w:rPr>
          <w:color w:val="666666"/>
          <w:sz w:val="18"/>
          <w:szCs w:val="18"/>
        </w:rPr>
        <w:t xml:space="preserve">[email]  ·  Obligatorio  ·  Base jurídica: CIR 2024/2690 §5.2(a)  ·  ISO/IEC 27001:2022 A.5.20, A.5.24</w:t>
      </w:r>
    </w:p>
    <w:p>
      <w:pPr>
        <w:jc w:val="both"/>
      </w:pPr>
      <w:r>
        <w:t xml:space="preserve">Dirección de correo electrónico que los clientes utilizan para notificar un incidente de seguridad. Idealmente una lista de distribución como security@example.com que llegue a varias personas.</w:t>
      </w:r>
    </w:p>
    <w:p/>
    <w:p>
      <w:pPr>
        <w:pStyle w:val="Heading3"/>
      </w:pPr>
      <w:r>
        <w:rPr>
          <w:b/>
          <w:bCs/>
        </w:rPr>
        <w:t xml:space="preserve">Incident contact phone</w:t>
      </w:r>
    </w:p>
    <w:p>
      <w:r>
        <w:rPr>
          <w:color w:val="666666"/>
          <w:sz w:val="18"/>
          <w:szCs w:val="18"/>
        </w:rPr>
        <w:t xml:space="preserve">[phone]  ·  Opcional  ·  Base jurídica: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Opcional  ·  Base jurídica: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Ofrecemos servicios SaaS / alojados</w:t>
      </w:r>
    </w:p>
    <w:p>
      <w:r>
        <w:rPr>
          <w:color w:val="666666"/>
          <w:sz w:val="18"/>
          <w:szCs w:val="18"/>
        </w:rPr>
        <w:t xml:space="preserve">[boolean]  ·  Obligatorio  ·  Base jurídica: CIR 2024/2690 §5.2(b)  ·  ISO/IEC 27001:2022 A.5.19, A.5.22, A.5.23</w:t>
      </w:r>
    </w:p>
    <w:p>
      <w:pPr>
        <w:jc w:val="both"/>
      </w:pPr>
      <w:r>
        <w:t xml:space="preserve">Ejecuta software para los clientes en su propia infraestructura y lo entrega a través de internet. Marque más de una casilla si ofrece varios modelos.</w:t>
      </w:r>
    </w:p>
    <w:p/>
    <w:p>
      <w:pPr>
        <w:pStyle w:val="Heading3"/>
      </w:pPr>
      <w:r>
        <w:rPr>
          <w:b/>
          <w:bCs/>
        </w:rPr>
        <w:t xml:space="preserve">Entregamos software on-premise</w:t>
      </w:r>
    </w:p>
    <w:p>
      <w:r>
        <w:rPr>
          <w:color w:val="666666"/>
          <w:sz w:val="18"/>
          <w:szCs w:val="18"/>
        </w:rPr>
        <w:t xml:space="preserve">[boolean]  ·  Obligatorio  ·  Base jurídica: CIR 2024/2690 §5.2(b)  ·  ISO/IEC 27001:2022 A.5.19, A.5.22</w:t>
      </w:r>
    </w:p>
    <w:p>
      <w:pPr>
        <w:jc w:val="both"/>
      </w:pPr>
      <w:r>
        <w:t xml:space="preserve">Entrega software que los clientes instalan y ejecutan en su propia infraestructura.</w:t>
      </w:r>
    </w:p>
    <w:p/>
    <w:p>
      <w:pPr>
        <w:pStyle w:val="Heading3"/>
      </w:pPr>
      <w:r>
        <w:rPr>
          <w:b/>
          <w:bCs/>
        </w:rPr>
        <w:t xml:space="preserve">Ofrecemos servicios gestionados / MSP</w:t>
      </w:r>
    </w:p>
    <w:p>
      <w:r>
        <w:rPr>
          <w:color w:val="666666"/>
          <w:sz w:val="18"/>
          <w:szCs w:val="18"/>
        </w:rPr>
        <w:t xml:space="preserve">[boolean]  ·  Obligatorio  ·  Base jurídica: CIR 2024/2690 §5.2(b)  ·  ISO/IEC 27001:2022 A.5.19, A.5.22</w:t>
      </w:r>
    </w:p>
    <w:p>
      <w:pPr>
        <w:jc w:val="both"/>
      </w:pPr>
      <w:r>
        <w:t xml:space="preserve">Opera para el cliente partes de su TI, con personal propio. Típico de los modelos MSP y MSSP.</w:t>
      </w:r>
    </w:p>
    <w:p/>
    <w:p>
      <w:pPr>
        <w:pStyle w:val="Heading3"/>
      </w:pPr>
      <w:r>
        <w:rPr>
          <w:b/>
          <w:bCs/>
        </w:rPr>
        <w:t xml:space="preserve">We process or store our customers' data</w:t>
      </w:r>
    </w:p>
    <w:p>
      <w:r>
        <w:rPr>
          <w:color w:val="666666"/>
          <w:sz w:val="18"/>
          <w:szCs w:val="18"/>
        </w:rPr>
        <w:t xml:space="preserve">[boolean]  ·  Obligatorio  ·  Base jurídica: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Países / regiones donde se tratan los datos de los clientes</w:t>
      </w:r>
    </w:p>
    <w:p>
      <w:r>
        <w:rPr>
          <w:color w:val="666666"/>
          <w:sz w:val="18"/>
          <w:szCs w:val="18"/>
        </w:rPr>
        <w:t xml:space="preserve">[string]  ·  Condicional  ·  Base jurídica: ENISA TIG §5.1.4 TIPS  ·  ISO/IEC 27001:2022 A.5.20, A.5.23, A.5.34</w:t>
      </w:r>
    </w:p>
    <w:p>
      <w:r>
        <w:rPr>
          <w:i/>
          <w:iCs/>
          <w:color w:val="666666"/>
          <w:sz w:val="18"/>
          <w:szCs w:val="18"/>
        </w:rPr>
        <w:t xml:space="preserve">Solo si: We process or store our customers' data = Sí</w:t>
      </w:r>
    </w:p>
    <w:p>
      <w:pPr>
        <w:jc w:val="both"/>
      </w:pPr>
      <w:r>
        <w:t xml:space="preserve">Todos los países donde se almacenan o tratan los datos de sus clientes. Separados por comas, códigos de país ISO. Ejemplo: DE, NL, US. Si trata los datos enteramente dentro de la UE, basta con enumerar los países de la UE.</w:t>
      </w:r>
    </w:p>
    <w:p/>
    <w:p>
      <w:pPr>
        <w:pStyle w:val="Heading3"/>
      </w:pPr>
      <w:r>
        <w:rPr>
          <w:b/>
          <w:bCs/>
        </w:rPr>
        <w:t xml:space="preserve">We access our customers' systems</w:t>
      </w:r>
    </w:p>
    <w:p>
      <w:r>
        <w:rPr>
          <w:color w:val="666666"/>
          <w:sz w:val="18"/>
          <w:szCs w:val="18"/>
        </w:rPr>
        <w:t xml:space="preserve">[boolean]  ·  Obligatorio  ·  Base jurídica: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Obligatorio  ·  Base jurídica: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Prácticas de seguridad  (31 campos)</w:t>
      </w:r>
    </w:p>
    <w:p>
      <w:pPr>
        <w:pStyle w:val="Heading3"/>
      </w:pPr>
      <w:r>
        <w:rPr>
          <w:b/>
          <w:bCs/>
        </w:rPr>
        <w:t xml:space="preserve">Staff who work for customers are instructed in security when they start and at regular intervals</w:t>
      </w:r>
    </w:p>
    <w:p>
      <w:r>
        <w:rPr>
          <w:color w:val="666666"/>
          <w:sz w:val="18"/>
          <w:szCs w:val="18"/>
        </w:rPr>
        <w:t xml:space="preserve">[boolean]  ·  Obligatorio  ·  Base jurídica: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Obligatorio  ·  Base jurídica: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Obligatorio  ·  Base jurídica: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Condicional  ·  Base jurídica: CIR 2024/2690 §5.1.4(g)  ·  ISO/IEC 27001:2022 A.5.20, A.5.21</w:t>
      </w:r>
    </w:p>
    <w:p>
      <w:r>
        <w:rPr>
          <w:i/>
          <w:iCs/>
          <w:color w:val="666666"/>
          <w:sz w:val="18"/>
          <w:szCs w:val="18"/>
        </w:rPr>
        <w:t xml:space="preserve">Solo si: We use subcontractors to deliver our service = Sí</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Condicional  ·  Base jurídica: CIR 2024/2690 §5.1.4(g)  ·  ISO/IEC 27001:2022 A.5.20, A.5.21</w:t>
      </w:r>
    </w:p>
    <w:p>
      <w:r>
        <w:rPr>
          <w:i/>
          <w:iCs/>
          <w:color w:val="666666"/>
          <w:sz w:val="18"/>
          <w:szCs w:val="18"/>
        </w:rPr>
        <w:t xml:space="preserve">Solo si: We use subcontractors to deliver our service = Sí</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Obligatorio  ·  Base jurídica: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Obligatorio  ·  Base jurídica: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Obligatorio  ·  Base jurídica: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Condicional  ·  Base jurídica: ENISA TIG §5.1 TIPS; CIR 2024/2690 §10.3.2  ·  ISO/IEC 27001:2022 A.6.6</w:t>
      </w:r>
    </w:p>
    <w:p>
      <w:r>
        <w:rPr>
          <w:i/>
          <w:iCs/>
          <w:color w:val="666666"/>
          <w:sz w:val="18"/>
          <w:szCs w:val="18"/>
        </w:rPr>
        <w:t xml:space="preserve">Solo si: We process or store our customers' data = Sí o We access our customers' systems = Sí o Our staff enter our customers' premises = Sí</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Condicional  ·  Base jurídica: CIR 2024/2690 §10.2.1  ·  ISO/IEC 27001:2022 A.6.1</w:t>
      </w:r>
    </w:p>
    <w:p>
      <w:r>
        <w:rPr>
          <w:i/>
          <w:iCs/>
          <w:color w:val="666666"/>
          <w:sz w:val="18"/>
          <w:szCs w:val="18"/>
        </w:rPr>
        <w:t xml:space="preserve">Solo si: We process or store our customers' data = Sí o We access our customers' systems = Sí o Our staff enter our customers' premises = Sí</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Condicional  ·  Base jurídica: CIR 2024/2690 §5.1.4(h); §5.1.2(d)  ·  ISO/IEC 27001:2022 A.5.11, A.8.10</w:t>
      </w:r>
    </w:p>
    <w:p>
      <w:r>
        <w:rPr>
          <w:i/>
          <w:iCs/>
          <w:color w:val="666666"/>
          <w:sz w:val="18"/>
          <w:szCs w:val="18"/>
        </w:rPr>
        <w:t xml:space="preserve">Solo si: We process or store our customers' data = Sí o We access our customers' systems = Sí o Our staff enter our customers' premises = Sí</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Condicional  ·  Base jurídica: GDPR Art. 28(3); Art. 4(7)  ·  ISO/IEC 27001:2022 A.5.34</w:t>
      </w:r>
    </w:p>
    <w:p>
      <w:r>
        <w:rPr>
          <w:i/>
          <w:iCs/>
          <w:color w:val="666666"/>
          <w:sz w:val="18"/>
          <w:szCs w:val="18"/>
        </w:rPr>
        <w:t xml:space="preserve">Solo si: We process or store our customers' data = Sí</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Condicional  ·  Base jurídica: CIR 2024/2690 §5.1.2(c); §9.2(a)  ·  ISO/IEC 27001:2022 A.8.24</w:t>
      </w:r>
    </w:p>
    <w:p>
      <w:r>
        <w:rPr>
          <w:i/>
          <w:iCs/>
          <w:color w:val="666666"/>
          <w:sz w:val="18"/>
          <w:szCs w:val="18"/>
        </w:rPr>
        <w:t xml:space="preserve">Solo si: We process or store our customers' data = Sí</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Condicional  ·  Base jurídica: CIR 2024/2690 §5.1.2(c); §9.2(a)  ·  ISO/IEC 27001:2022 A.8.24</w:t>
      </w:r>
    </w:p>
    <w:p>
      <w:r>
        <w:rPr>
          <w:i/>
          <w:iCs/>
          <w:color w:val="666666"/>
          <w:sz w:val="18"/>
          <w:szCs w:val="18"/>
        </w:rPr>
        <w:t xml:space="preserve">Solo si: We process or store our customers' data = Sí</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Condicional  ·  Base jurídica: CIR 2024/2690 §5.1.2(a)  ·  ISO/IEC 27001:2022 A.5.1</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Condicional  ·  Base jurídica: CIR 2024/2690 §5.1.2(a); ENISA TIG §5.1.2  ·  ISO/IEC 27001:2022 A.5.19, A.5.22</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Condicional  ·  Base jurídica: CIR 2024/2690 §5.1.2(a); ENISA TIG §5.1.2  ·  ISO/IEC 27001:2022 A.5.22</w:t>
      </w:r>
    </w:p>
    <w:p>
      <w:r>
        <w:rPr>
          <w:i/>
          <w:iCs/>
          <w:color w:val="666666"/>
          <w:sz w:val="18"/>
          <w:szCs w:val="18"/>
        </w:rPr>
        <w:t xml:space="preserve">Solo si: We hold a current security certificate or audit report that covers the service we deliver to customers = Sí</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Condicional  ·  Base jurídica: CIR 2024/2690 §5.1.4(f)  ·  ISO/IEC 27001:2022 A.8.8</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Condicional  ·  Base jurídica: CIR 2024/2690 §5.1.2(a); §3.1  ·  ISO/IEC 27001:2022 A.5.24, A.5.26</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Condicional  ·  Base jurídica: CIR 2024/2690 §5.1.2(c); §4.1; §4.2  ·  ISO/IEC 27001:2022 A.5.29, A.5.30, A.8.13</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Condicional  ·  Base jurídica: CIR 2024/2690 §5.1.2(a); §11.7  ·  ISO/IEC 27001:2022 A.8.5, A.8.2</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Condicional  ·  Base jurídica: CIR 2024/2690 §5.1.2(a); §6.5  ·  ISO/IEC 27001:2022 A.8.29, A.8.8</w:t>
      </w:r>
    </w:p>
    <w:p>
      <w:r>
        <w:rPr>
          <w:i/>
          <w:iCs/>
          <w:color w:val="666666"/>
          <w:sz w:val="18"/>
          <w:szCs w:val="18"/>
        </w:rPr>
        <w:t xml:space="preserve">Solo si: Ofrecemos servicios SaaS / alojados = Sí o Entregamos software on-premise = Sí o Ofrecemos servicios gestionados / MSP = Sí</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Condicional  ·  Base jurídica: CIR 2024/2690 §5.1.2(a)  ·  ISO/IEC 27001:2022 A.8.25, A.8.28</w:t>
      </w:r>
    </w:p>
    <w:p>
      <w:r>
        <w:rPr>
          <w:i/>
          <w:iCs/>
          <w:color w:val="666666"/>
          <w:sz w:val="18"/>
          <w:szCs w:val="18"/>
        </w:rPr>
        <w:t xml:space="preserve">Solo si: Ofrecemos servicios SaaS / alojados = Sí o Entregamos software on-premise = Sí</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Condicional  ·  Base jurídica: CIR 2024/2690 §5.1.4(f); CRA Annex I Part II(5), (6)  ·  ISO/IEC 27001:2022 A.8.8, A.5.21</w:t>
      </w:r>
    </w:p>
    <w:p>
      <w:r>
        <w:rPr>
          <w:i/>
          <w:iCs/>
          <w:color w:val="666666"/>
          <w:sz w:val="18"/>
          <w:szCs w:val="18"/>
        </w:rPr>
        <w:t xml:space="preserve">Solo si: Ofrecemos servicios SaaS / alojados = Sí o Entregamos software on-premise = Sí</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Condicional  ·  Base jurídica: CIR 2024/2690 §5.1.4(a); §11.3.2(a); §11.5.2(b)  ·  ISO/IEC 27001:2022 A.8.2, A.8.5, A.5.16</w:t>
      </w:r>
    </w:p>
    <w:p>
      <w:r>
        <w:rPr>
          <w:i/>
          <w:iCs/>
          <w:color w:val="666666"/>
          <w:sz w:val="18"/>
          <w:szCs w:val="18"/>
        </w:rPr>
        <w:t xml:space="preserve">Solo si: We access our customers' systems = Sí</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Condicional  ·  Base jurídica: CIR 2024/2690 §5.1.4(a); §3.2.3(e)  ·  ISO/IEC 27001:2022 A.8.15</w:t>
      </w:r>
    </w:p>
    <w:p>
      <w:r>
        <w:rPr>
          <w:i/>
          <w:iCs/>
          <w:color w:val="666666"/>
          <w:sz w:val="18"/>
          <w:szCs w:val="18"/>
        </w:rPr>
        <w:t xml:space="preserve">Solo si: We access our customers' systems = Sí</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Condicional  ·  Base jurídica: CIR 2024/2690 §5.1.4(a); §11.2.2(d); §13.3.2(b)  ·  ISO/IEC 27001:2022 A.7.2, A.5.11, A.5.18</w:t>
      </w:r>
    </w:p>
    <w:p>
      <w:r>
        <w:rPr>
          <w:i/>
          <w:iCs/>
          <w:color w:val="666666"/>
          <w:sz w:val="18"/>
          <w:szCs w:val="18"/>
        </w:rPr>
        <w:t xml:space="preserve">Solo si: Our staff enter our customers' premises = Sí</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Condicional  ·  Base jurídica: ENISA TIG §5.1 TIPS; CIR 2024/2690 §8.1.1  ·  ISO/IEC 27001:2022 A.7.2, A.7.7, A.6.3</w:t>
      </w:r>
    </w:p>
    <w:p>
      <w:r>
        <w:rPr>
          <w:i/>
          <w:iCs/>
          <w:color w:val="666666"/>
          <w:sz w:val="18"/>
          <w:szCs w:val="18"/>
        </w:rPr>
        <w:t xml:space="preserve">Solo si: Our staff enter our customers' premises = Sí</w:t>
      </w:r>
    </w:p>
    <w:p>
      <w:pPr>
        <w:jc w:val="both"/>
      </w:pPr>
      <w:r>
        <w:t xml:space="preserve">Tick yes if your staff have written rules for working at customers, for example: let no one in, leave screens, devices and documents alone, report anything unusual to the customer.</w:t>
      </w:r>
    </w:p>
    <w:p/>
    <w:p>
      <w:pPr>
        <w:pStyle w:val="Heading3"/>
      </w:pPr>
      <w:r>
        <w:rPr>
          <w:b/>
          <w:bCs/>
        </w:rPr>
        <w:t xml:space="preserve">Customers' personal data outside the European Economic Area</w:t>
      </w:r>
    </w:p>
    <w:p>
      <w:r>
        <w:rPr>
          <w:color w:val="666666"/>
          <w:sz w:val="18"/>
          <w:szCs w:val="18"/>
        </w:rPr>
        <w:t xml:space="preserve">[enum]  ·  Condicional  ·  Base jurídica: GDPR Art. 44; Art. 45; Art. 46(2)(c); Art. 47</w:t>
      </w:r>
    </w:p>
    <w:p>
      <w:r>
        <w:rPr>
          <w:i/>
          <w:iCs/>
          <w:color w:val="666666"/>
          <w:sz w:val="18"/>
          <w:szCs w:val="18"/>
        </w:rPr>
        <w:t xml:space="preserve">Solo si: Data processing agreement (Art. 28 GDPR) = Yes, we offer a standard DPA o Data processing agreement (Art. 28 GDPR) = No</w:t>
      </w:r>
    </w:p>
    <w:p>
      <w:pPr>
        <w:jc w:val="both"/>
      </w:pPr>
      <w:r>
        <w:t xml:space="preserve">Whether you or your sub-processors transfer customers' personal data to a country outside the EEA, and on which basis. A transfer needs one of the bases of Chapter V GDPR (Art. 44).</w:t>
      </w:r>
    </w:p>
    <w:p>
      <w:pPr>
        <w:pStyle w:val="ListParagraph"/>
        <w:numPr>
          <w:ilvl w:val="0"/>
          <w:numId w:val="1"/>
        </w:numPr>
      </w:pPr>
      <w:r>
        <w:t xml:space="preserve">No, it stays in the EEA</w:t>
      </w:r>
    </w:p>
    <w:p>
      <w:pPr>
        <w:pStyle w:val="ListParagraph"/>
        <w:numPr>
          <w:ilvl w:val="0"/>
          <w:numId w:val="1"/>
        </w:numPr>
      </w:pPr>
      <w:r>
        <w:t xml:space="preserve">Yes, only to countries with an adequacy decision of the European Commission (Art. 45)</w:t>
      </w:r>
    </w:p>
    <w:p>
      <w:pPr>
        <w:pStyle w:val="ListParagraph"/>
        <w:numPr>
          <w:ilvl w:val="0"/>
          <w:numId w:val="1"/>
        </w:numPr>
      </w:pPr>
      <w:r>
        <w:t xml:space="preserve">Yes, under the standard contractual clauses of the European Commission (Art. 46(2)(c))</w:t>
      </w:r>
    </w:p>
    <w:p>
      <w:pPr>
        <w:pStyle w:val="ListParagraph"/>
        <w:numPr>
          <w:ilvl w:val="0"/>
          <w:numId w:val="1"/>
        </w:numPr>
      </w:pPr>
      <w:r>
        <w:t xml:space="preserve">Yes, under binding corporate rules (Art. 47)</w:t>
      </w:r>
    </w:p>
    <w:p>
      <w:pPr>
        <w:pStyle w:val="ListParagraph"/>
        <w:numPr>
          <w:ilvl w:val="0"/>
          <w:numId w:val="1"/>
        </w:numPr>
      </w:pPr>
      <w:r>
        <w:t xml:space="preserve">Yes, on another basis</w:t>
      </w:r>
    </w:p>
    <w:p/>
    <w:p>
      <w:pPr>
        <w:pStyle w:val="Heading3"/>
      </w:pPr>
      <w:r>
        <w:rPr>
          <w:b/>
          <w:bCs/>
        </w:rPr>
        <w:t xml:space="preserve">How you engage sub-processors</w:t>
      </w:r>
    </w:p>
    <w:p>
      <w:r>
        <w:rPr>
          <w:color w:val="666666"/>
          <w:sz w:val="18"/>
          <w:szCs w:val="18"/>
        </w:rPr>
        <w:t xml:space="preserve">[enum]  ·  Condicional  ·  Base jurídica: GDPR Art. 28(2)</w:t>
      </w:r>
    </w:p>
    <w:p>
      <w:r>
        <w:rPr>
          <w:i/>
          <w:iCs/>
          <w:color w:val="666666"/>
          <w:sz w:val="18"/>
          <w:szCs w:val="18"/>
        </w:rPr>
        <w:t xml:space="preserve">Solo si: Data processing agreement (Art. 28 GDPR) = Yes, we offer a standard DPA o Data processing agreement (Art. 28 GDPR) = No</w:t>
      </w:r>
    </w:p>
    <w:p>
      <w:pPr>
        <w:jc w:val="both"/>
      </w:pPr>
      <w:r>
        <w:t xml:space="preserve">A processor engages another processor only with the customer's prior specific or general written authorisation. Under a general one, it tells the customer of any intended addition or replacement, so the customer can object (Art. 28(2) GDPR).</w:t>
      </w:r>
    </w:p>
    <w:p>
      <w:pPr>
        <w:pStyle w:val="ListParagraph"/>
        <w:numPr>
          <w:ilvl w:val="0"/>
          <w:numId w:val="1"/>
        </w:numPr>
      </w:pPr>
      <w:r>
        <w:t xml:space="preserve">General authorisation: we tell you before adding or replacing one, and you may object</w:t>
      </w:r>
    </w:p>
    <w:p>
      <w:pPr>
        <w:pStyle w:val="ListParagraph"/>
        <w:numPr>
          <w:ilvl w:val="0"/>
          <w:numId w:val="1"/>
        </w:numPr>
      </w:pPr>
      <w:r>
        <w:t xml:space="preserve">We ask for your specific authorisation for each one</w:t>
      </w:r>
    </w:p>
    <w:p>
      <w:pPr>
        <w:pStyle w:val="ListParagraph"/>
        <w:numPr>
          <w:ilvl w:val="0"/>
          <w:numId w:val="1"/>
        </w:numPr>
      </w:pPr>
      <w:r>
        <w:t xml:space="preserve">We engage no sub-processors for customers' personal data</w:t>
      </w:r>
    </w:p>
    <w:p/>
    <w:p>
      <w:pPr>
        <w:pStyle w:val="Heading3"/>
      </w:pPr>
      <w:r>
        <w:rPr>
          <w:b/>
          <w:bCs/>
        </w:rPr>
        <w:t xml:space="preserve">We notify you of a personal data breach without undue delay after becoming aware of it</w:t>
      </w:r>
    </w:p>
    <w:p>
      <w:r>
        <w:rPr>
          <w:color w:val="666666"/>
          <w:sz w:val="18"/>
          <w:szCs w:val="18"/>
        </w:rPr>
        <w:t xml:space="preserve">[boolean]  ·  Condicional  ·  Base jurídica: GDPR Art. 33(2)</w:t>
      </w:r>
    </w:p>
    <w:p>
      <w:r>
        <w:rPr>
          <w:i/>
          <w:iCs/>
          <w:color w:val="666666"/>
          <w:sz w:val="18"/>
          <w:szCs w:val="18"/>
        </w:rPr>
        <w:t xml:space="preserve">Solo si: Data processing agreement (Art. 28 GDPR) = Yes, we offer a standard DPA o Data processing agreement (Art. 28 GDPR) = No</w:t>
      </w:r>
    </w:p>
    <w:p>
      <w:pPr>
        <w:jc w:val="both"/>
      </w:pPr>
      <w:r>
        <w:t xml:space="preserve">A processor owes this to the controller (Art. 33(2) GDPR). The controller needs it to meet its own duty to notify the supervisory authority (Art. 33(1)).</w:t>
      </w:r>
    </w:p>
    <w:p/>
    <w:p>
      <w:pPr>
        <w:pStyle w:val="Heading1"/>
      </w:pPr>
      <w:r>
        <w:rPr>
          <w:b/>
          <w:bCs/>
        </w:rPr>
        <w:t xml:space="preserve">3. Software como servicio (SaaS)  (2 campos)</w:t>
      </w:r>
    </w:p>
    <w:p>
      <w:pPr>
        <w:pStyle w:val="Heading3"/>
      </w:pPr>
      <w:r>
        <w:rPr>
          <w:b/>
          <w:bCs/>
        </w:rPr>
        <w:t xml:space="preserve">Customers can protect their accounts with a second factor</w:t>
      </w:r>
    </w:p>
    <w:p>
      <w:r>
        <w:rPr>
          <w:color w:val="666666"/>
          <w:sz w:val="18"/>
          <w:szCs w:val="18"/>
        </w:rPr>
        <w:t xml:space="preserve">[boolean]  ·  Condicional  ·  Base jurídica: CIR 2024/2690 §5.1.2(c); §11.7  ·  ISO/IEC 27001:2022 A.8.5, A.5.23</w:t>
      </w:r>
    </w:p>
    <w:p>
      <w:r>
        <w:rPr>
          <w:i/>
          <w:iCs/>
          <w:color w:val="666666"/>
          <w:sz w:val="18"/>
          <w:szCs w:val="18"/>
        </w:rPr>
        <w:t xml:space="preserve">Solo si: Ofrecemos servicios SaaS / alojados = Sí</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Condicional  ·  Base jurídica: ENISA TIG §5.1 TIPS  ·  ISO/IEC 27001:2022 A.5.30, A.5.23</w:t>
      </w:r>
    </w:p>
    <w:p>
      <w:r>
        <w:rPr>
          <w:i/>
          <w:iCs/>
          <w:color w:val="666666"/>
          <w:sz w:val="18"/>
          <w:szCs w:val="18"/>
        </w:rPr>
        <w:t xml:space="preserve">Solo si: Ofrecemos servicios SaaS / alojados = Sí</w:t>
      </w:r>
    </w:p>
    <w:p>
      <w:pPr>
        <w:jc w:val="both"/>
      </w:pPr>
      <w:r>
        <w:t xml:space="preserve">The most hours your service may be unavailable before it is restored. Give a value you keep.</w:t>
      </w:r>
    </w:p>
    <w:p/>
    <w:p>
      <w:pPr>
        <w:pStyle w:val="Heading1"/>
      </w:pPr>
      <w:r>
        <w:rPr>
          <w:b/>
          <w:bCs/>
        </w:rPr>
        <w:t xml:space="preserve">4. Software en las instalaciones del cliente (on-premise)  (4 campos)</w:t>
      </w:r>
    </w:p>
    <w:p>
      <w:pPr>
        <w:pStyle w:val="Heading3"/>
      </w:pPr>
      <w:r>
        <w:rPr>
          <w:b/>
          <w:bCs/>
        </w:rPr>
        <w:t xml:space="preserve">Until when you supply security updates for the version you deliver</w:t>
      </w:r>
    </w:p>
    <w:p>
      <w:r>
        <w:rPr>
          <w:color w:val="666666"/>
          <w:sz w:val="18"/>
          <w:szCs w:val="18"/>
        </w:rPr>
        <w:t xml:space="preserve">[string]  ·  Condicional  ·  Base jurídica: CIR 2024/2690 §6.1.2(b); CRA Art. 13(19)  ·  ISO/IEC 27001:2022 A.5.21</w:t>
      </w:r>
    </w:p>
    <w:p>
      <w:r>
        <w:rPr>
          <w:i/>
          <w:iCs/>
          <w:color w:val="666666"/>
          <w:sz w:val="18"/>
          <w:szCs w:val="18"/>
        </w:rPr>
        <w:t xml:space="preserve">Solo si: Entregamos software on-premise = Sí</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Condicional  ·  Base jurídica: CIR 2024/2690 §5.1.4(f); CRA Annex I Part II(2)  ·  ISO/IEC 27001:2022 A.8.8</w:t>
      </w:r>
    </w:p>
    <w:p>
      <w:r>
        <w:rPr>
          <w:i/>
          <w:iCs/>
          <w:color w:val="666666"/>
          <w:sz w:val="18"/>
          <w:szCs w:val="18"/>
        </w:rPr>
        <w:t xml:space="preserve">Solo si: Entregamos software on-premise = Sí</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Condicional  ·  Base jurídica: CIR 2024/2690 §6.1.2(c); CRA Annex I Part II(1)  ·  ISO/IEC 27001:2022 A.5.21</w:t>
      </w:r>
    </w:p>
    <w:p>
      <w:r>
        <w:rPr>
          <w:i/>
          <w:iCs/>
          <w:color w:val="666666"/>
          <w:sz w:val="18"/>
          <w:szCs w:val="18"/>
        </w:rPr>
        <w:t xml:space="preserve">Solo si: Entregamos software on-premise = Sí</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Condicional  ·  Base jurídica: CIR 2024/2690 §6.6.1(c); CRA Annex I Part II(7)  ·  ISO/IEC 27001:2022 A.5.21</w:t>
      </w:r>
    </w:p>
    <w:p>
      <w:r>
        <w:rPr>
          <w:i/>
          <w:iCs/>
          <w:color w:val="666666"/>
          <w:sz w:val="18"/>
          <w:szCs w:val="18"/>
        </w:rPr>
        <w:t xml:space="preserve">Solo si: Entregamos software on-premise = Sí</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Licencia: MIT (esquema) + CC BY 4.0 (contenido). Libre para usar, bifurcar y adaptar.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Cuestionario para proveedores NIS 2</dc:title>
  <dc:creator>NISD2</dc:creator>
  <dc:description>Un cuestionario abierto y anclado en el derecho de la UE para la evaluación de proveedores conforme a NIS 2</dc:description>
  <cp:lastModifiedBy>Un-named</cp:lastModifiedBy>
  <cp:revision>1</cp:revision>
  <dcterms:created xsi:type="dcterms:W3CDTF">2026-10-23T03:54:31.166Z</dcterms:created>
  <dcterms:modified xsi:type="dcterms:W3CDTF">2026-10-23T03:54:31.166Z</dcterms:modified>
</cp:coreProperties>
</file>

<file path=docProps/custom.xml><?xml version="1.0" encoding="utf-8"?>
<Properties xmlns="http://schemas.openxmlformats.org/officeDocument/2006/custom-properties" xmlns:vt="http://schemas.openxmlformats.org/officeDocument/2006/docPropsVTypes"/>
</file>