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Cuestionario para proveedores NIS 2</w:t>
      </w:r>
    </w:p>
    <w:p>
      <w:r>
        <w:rPr>
          <w:i/>
          <w:iCs/>
        </w:rPr>
        <w:t xml:space="preserve">Un cuestionario abierto y anclado en el derecho de la UE para la evaluación de proveedores conforme a NIS 2</w:t>
      </w:r>
    </w:p>
    <w:p>
      <w:r>
        <w:rPr>
          <w:color w:val="666666"/>
          <w:sz w:val="18"/>
          <w:szCs w:val="18"/>
        </w:rPr>
        <w:t xml:space="preserve">Versión 3.1.0 - Última actualización 2026-05-15 - 59 campos en 6 secciones</w:t>
      </w:r>
    </w:p>
    <w:p/>
    <w:p>
      <w:pPr>
        <w:jc w:val="both"/>
      </w:pPr>
      <w:r>
        <w:t xml:space="preserve">Cada campo está anclado a una fuente primaria de nivel europeo: NIS 2 Art. 21(2), CIR 2024/2690, ENISA Technical Implementation Guidance, GDPR Art. 28 o el Cyber Resilience Act. Los complementos sectoriales (TISAX, VDA ISA, BSI C5, KRITIS) se añaden a esta base.</w:t>
      </w:r>
    </w:p>
    <w:p>
      <w:r>
        <w:rPr>
          <w:color w:val="666666"/>
          <w:sz w:val="18"/>
          <w:szCs w:val="18"/>
        </w:rPr>
        <w:t xml:space="preserve">Fuente: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Perfil del proveedor  (18 campos)</w:t>
      </w:r>
    </w:p>
    <w:p>
      <w:pPr>
        <w:pStyle w:val="Heading3"/>
      </w:pPr>
      <w:r>
        <w:rPr>
          <w:b/>
          <w:bCs/>
        </w:rPr>
        <w:t xml:space="preserve">Razón social</w:t>
      </w:r>
    </w:p>
    <w:p>
      <w:r>
        <w:rPr>
          <w:color w:val="666666"/>
          <w:sz w:val="18"/>
          <w:szCs w:val="18"/>
        </w:rPr>
        <w:t xml:space="preserve">[string]  Obligatorio  -  Base jurídica: ENISA TIG §5.2</w:t>
      </w:r>
    </w:p>
    <w:p>
      <w:pPr>
        <w:jc w:val="both"/>
      </w:pPr>
      <w:r>
        <w:t xml:space="preserve">El nombre registrado de su empresa, tal como aparece en el registro mercantil. Ejemplo: Müller GmbH o Acme Software Ltd.</w:t>
      </w:r>
    </w:p>
    <w:p/>
    <w:p>
      <w:pPr>
        <w:pStyle w:val="Heading3"/>
      </w:pPr>
      <w:r>
        <w:rPr>
          <w:b/>
          <w:bCs/>
        </w:rPr>
        <w:t xml:space="preserve">Domicilio social</w:t>
      </w:r>
    </w:p>
    <w:p>
      <w:r>
        <w:rPr>
          <w:color w:val="666666"/>
          <w:sz w:val="18"/>
          <w:szCs w:val="18"/>
        </w:rPr>
        <w:t xml:space="preserve">[string]  Obligatorio  -  Base jurídica: ENISA TIG §5.2</w:t>
      </w:r>
    </w:p>
    <w:p>
      <w:pPr>
        <w:jc w:val="both"/>
      </w:pPr>
      <w:r>
        <w:t xml:space="preserve">El domicilio comercial registrado de su empresa. Basta con una dirección, aunque tenga varias ubicaciones.</w:t>
      </w:r>
    </w:p>
    <w:p/>
    <w:p>
      <w:pPr>
        <w:pStyle w:val="Heading3"/>
      </w:pPr>
      <w:r>
        <w:rPr>
          <w:b/>
          <w:bCs/>
        </w:rPr>
        <w:t xml:space="preserve">País</w:t>
      </w:r>
    </w:p>
    <w:p>
      <w:r>
        <w:rPr>
          <w:color w:val="666666"/>
          <w:sz w:val="18"/>
          <w:szCs w:val="18"/>
        </w:rPr>
        <w:t xml:space="preserve">[country]  Obligatorio  -  Base jurídica: ENISA TIG §5.2</w:t>
      </w:r>
    </w:p>
    <w:p>
      <w:pPr>
        <w:jc w:val="both"/>
      </w:pPr>
      <w:r>
        <w:t xml:space="preserve">El país donde su empresa está legalmente establecida. Dos letras, por ejemplo DE para Alemania.</w:t>
      </w:r>
    </w:p>
    <w:p/>
    <w:p>
      <w:pPr>
        <w:pStyle w:val="Heading3"/>
      </w:pPr>
      <w:r>
        <w:rPr>
          <w:b/>
          <w:bCs/>
        </w:rPr>
        <w:t xml:space="preserve">Dominio principal</w:t>
      </w:r>
    </w:p>
    <w:p>
      <w:r>
        <w:rPr>
          <w:color w:val="666666"/>
          <w:sz w:val="18"/>
          <w:szCs w:val="18"/>
        </w:rPr>
        <w:t xml:space="preserve">[url]  Opcional  -  Base jurídica: ENISA TIG §5.2(b)</w:t>
      </w:r>
    </w:p>
    <w:p>
      <w:pPr>
        <w:jc w:val="both"/>
      </w:pPr>
      <w:r>
        <w:t xml:space="preserve">Su dominio principal, normalmente la URL de su sitio web. Ejemplo: acmesoftware.com.</w:t>
      </w:r>
    </w:p>
    <w:p/>
    <w:p>
      <w:pPr>
        <w:pStyle w:val="Heading3"/>
      </w:pPr>
      <w:r>
        <w:rPr>
          <w:b/>
          <w:bCs/>
        </w:rPr>
        <w:t xml:space="preserve">Eslogan (una línea, visible para el cliente)</w:t>
      </w:r>
    </w:p>
    <w:p>
      <w:r>
        <w:rPr>
          <w:color w:val="666666"/>
          <w:sz w:val="18"/>
          <w:szCs w:val="18"/>
        </w:rPr>
        <w:t xml:space="preserve">[string]  Opcional  -  Base jurídica: ENISA TIG §5.2(b)</w:t>
      </w:r>
    </w:p>
    <w:p>
      <w:pPr>
        <w:jc w:val="both"/>
      </w:pPr>
      <w:r>
        <w:t xml:space="preserve">Una línea que resume lo que ofrece. Los clientes la ven en su perfil de proveedor. Ejemplo: ERP para la fabricación de pymes.</w:t>
      </w:r>
    </w:p>
    <w:p/>
    <w:p>
      <w:pPr>
        <w:pStyle w:val="Heading3"/>
      </w:pPr>
      <w:r>
        <w:rPr>
          <w:b/>
          <w:bCs/>
        </w:rPr>
        <w:t xml:space="preserve">Descripción pública (más extensa)</w:t>
      </w:r>
    </w:p>
    <w:p>
      <w:r>
        <w:rPr>
          <w:color w:val="666666"/>
          <w:sz w:val="18"/>
          <w:szCs w:val="18"/>
        </w:rPr>
        <w:t xml:space="preserve">[text]  Opcional  -  Base jurídica: ENISA TIG §5.2(b)</w:t>
      </w:r>
    </w:p>
    <w:p>
      <w:pPr>
        <w:jc w:val="both"/>
      </w:pPr>
      <w:r>
        <w:t xml:space="preserve">Dos o tres frases sobre su empresa y lo que hace. Esto aparece en su perfil de proveedor. Argumento de venta, postura de seguridad o ambos.</w:t>
      </w:r>
    </w:p>
    <w:p/>
    <w:p>
      <w:pPr>
        <w:pStyle w:val="Heading3"/>
      </w:pPr>
      <w:r>
        <w:rPr>
          <w:b/>
          <w:bCs/>
        </w:rPr>
        <w:t xml:space="preserve">Descripción de los servicios prestados</w:t>
      </w:r>
    </w:p>
    <w:p>
      <w:r>
        <w:rPr>
          <w:color w:val="666666"/>
          <w:sz w:val="18"/>
          <w:szCs w:val="18"/>
        </w:rPr>
        <w:t xml:space="preserve">[text]  Obligatorio  -  Base jurídica: ENISA TIG §5.2(b) + §5.1.4 TIPS</w:t>
      </w:r>
    </w:p>
    <w:p>
      <w:pPr>
        <w:jc w:val="both"/>
      </w:pPr>
      <w:r>
        <w:t xml:space="preserve">Un párrafo sobre lo que su empresa entrega técnicamente a los clientes. Productos, módulos o servicios concretos. Evite el lenguaje puramente comercial.</w:t>
      </w:r>
    </w:p>
    <w:p/>
    <w:p>
      <w:pPr>
        <w:pStyle w:val="Heading3"/>
      </w:pPr>
      <w:r>
        <w:rPr>
          <w:b/>
          <w:bCs/>
        </w:rPr>
        <w:t xml:space="preserve">Países / regiones donde se tratan los datos de los clientes</w:t>
      </w:r>
    </w:p>
    <w:p>
      <w:r>
        <w:rPr>
          <w:color w:val="666666"/>
          <w:sz w:val="18"/>
          <w:szCs w:val="18"/>
        </w:rPr>
        <w:t xml:space="preserve">[string]  Obligatorio  -  Base jurídica: ENISA TIG §5.1.4 TIPS</w:t>
      </w:r>
    </w:p>
    <w:p>
      <w:pPr>
        <w:jc w:val="both"/>
      </w:pPr>
      <w:r>
        <w:t xml:space="preserve">Todos los países donde se almacenan o tratan los datos de sus clientes. Separados por comas, códigos de país ISO. Ejemplo: DE, NL, US. Si trata los datos enteramente dentro de la UE, basta con enumerar los países de la UE.</w:t>
      </w:r>
    </w:p>
    <w:p/>
    <w:p>
      <w:pPr>
        <w:pStyle w:val="Heading3"/>
      </w:pPr>
      <w:r>
        <w:rPr>
          <w:b/>
          <w:bCs/>
        </w:rPr>
        <w:t xml:space="preserve">Nombre del contacto de seguridad</w:t>
      </w:r>
    </w:p>
    <w:p>
      <w:r>
        <w:rPr>
          <w:color w:val="666666"/>
          <w:sz w:val="18"/>
          <w:szCs w:val="18"/>
        </w:rPr>
        <w:t xml:space="preserve">[string]  Obligatorio  -  Base jurídica: CIR 2024/2690 §5.1.4(d)</w:t>
      </w:r>
    </w:p>
    <w:p>
      <w:pPr>
        <w:jc w:val="both"/>
      </w:pPr>
      <w:r>
        <w:t xml:space="preserve">La persona a la que los clientes contactan cuando se produce un incidente de seguridad. En las empresas más pequeñas suele ser el director general o el responsable de TI. Basta con una persona.</w:t>
      </w:r>
    </w:p>
    <w:p/>
    <w:p>
      <w:pPr>
        <w:pStyle w:val="Heading3"/>
      </w:pPr>
      <w:r>
        <w:rPr>
          <w:b/>
          <w:bCs/>
        </w:rPr>
        <w:t xml:space="preserve">Correo electrónico de contacto para incidentes</w:t>
      </w:r>
    </w:p>
    <w:p>
      <w:r>
        <w:rPr>
          <w:color w:val="666666"/>
          <w:sz w:val="18"/>
          <w:szCs w:val="18"/>
        </w:rPr>
        <w:t xml:space="preserve">[email]  Obligatorio  -  Base jurídica: CIR 2024/2690 §5.1.4(d)</w:t>
      </w:r>
    </w:p>
    <w:p>
      <w:pPr>
        <w:jc w:val="both"/>
      </w:pPr>
      <w:r>
        <w:t xml:space="preserve">Dirección de correo electrónico que los clientes utilizan para notificar un incidente de seguridad. Idealmente una lista de distribución como security@example.com que llegue a varias personas.</w:t>
      </w:r>
    </w:p>
    <w:p/>
    <w:p>
      <w:pPr>
        <w:pStyle w:val="Heading3"/>
      </w:pPr>
      <w:r>
        <w:rPr>
          <w:b/>
          <w:bCs/>
        </w:rPr>
        <w:t xml:space="preserve">Teléfono de contacto para incidentes (24/7)</w:t>
      </w:r>
    </w:p>
    <w:p>
      <w:r>
        <w:rPr>
          <w:color w:val="666666"/>
          <w:sz w:val="18"/>
          <w:szCs w:val="18"/>
        </w:rPr>
        <w:t xml:space="preserve">[phone]  Opcional  -  Base jurídica: CIR 2024/2690 §5.1.4(d)</w:t>
      </w:r>
    </w:p>
    <w:p>
      <w:pPr>
        <w:jc w:val="both"/>
      </w:pPr>
      <w:r>
        <w:t xml:space="preserve">Número de teléfono para las notificaciones urgentes de incidentes. Si no dispone de guardia 24/7, indique su horario laboral entre paréntesis.</w:t>
      </w:r>
    </w:p>
    <w:p/>
    <w:p>
      <w:pPr>
        <w:pStyle w:val="Heading3"/>
      </w:pPr>
      <w:r>
        <w:rPr>
          <w:b/>
          <w:bCs/>
        </w:rPr>
        <w:t xml:space="preserve">SLA de notificación de incidentes (horas)</w:t>
      </w:r>
    </w:p>
    <w:p>
      <w:r>
        <w:rPr>
          <w:color w:val="666666"/>
          <w:sz w:val="18"/>
          <w:szCs w:val="18"/>
        </w:rPr>
        <w:t xml:space="preserve">[integer]  Opcional  -  Base jurídica: NIS2 Art. 23</w:t>
      </w:r>
    </w:p>
    <w:p>
      <w:pPr>
        <w:jc w:val="both"/>
      </w:pPr>
      <w:r>
        <w:t xml:space="preserve">Horas desde la detección de un incidente hasta la notificación al cliente, como máximo. Autoevaluación realista, no aspiracional. Valores habituales: 24, 48 o 72 horas.</w:t>
      </w:r>
    </w:p>
    <w:p/>
    <w:p>
      <w:pPr>
        <w:pStyle w:val="Heading3"/>
      </w:pPr>
      <w:r>
        <w:rPr>
          <w:b/>
          <w:bCs/>
        </w:rPr>
        <w:t xml:space="preserve">ID de registro BSI (solo si su empresa está regulada por NIS2)</w:t>
      </w:r>
    </w:p>
    <w:p>
      <w:r>
        <w:rPr>
          <w:color w:val="666666"/>
          <w:sz w:val="18"/>
          <w:szCs w:val="18"/>
        </w:rPr>
        <w:t xml:space="preserve">[string]  Opcional  -  Base jurídica: ENISA TIG §5.1.2</w:t>
      </w:r>
    </w:p>
    <w:p>
      <w:pPr>
        <w:jc w:val="both"/>
      </w:pPr>
      <w:r>
        <w:t xml:space="preserve">Si su empresa está sujeta a NIS 2 y registrada ante el BSI, introduzca aquí el ID de registro. Opcional. Permite a los clientes ver de un vistazo que cumple la misma obligación que una entidad regulada.</w:t>
      </w:r>
    </w:p>
    <w:p/>
    <w:p>
      <w:pPr>
        <w:pStyle w:val="Heading3"/>
      </w:pPr>
      <w:r>
        <w:rPr>
          <w:b/>
          <w:bCs/>
        </w:rPr>
        <w:t xml:space="preserve">Ofrecemos servicios SaaS / alojados</w:t>
      </w:r>
    </w:p>
    <w:p>
      <w:r>
        <w:rPr>
          <w:color w:val="666666"/>
          <w:sz w:val="18"/>
          <w:szCs w:val="18"/>
        </w:rPr>
        <w:t xml:space="preserve">[boolean]  Obligatorio  -  Base jurídica: ENISA TIG §5.2(b)</w:t>
      </w:r>
    </w:p>
    <w:p>
      <w:pPr>
        <w:jc w:val="both"/>
      </w:pPr>
      <w:r>
        <w:t xml:space="preserve">Ejecuta software para los clientes en su propia infraestructura y lo entrega a través de internet. Marque más de una casilla si ofrece varios modelos.</w:t>
      </w:r>
    </w:p>
    <w:p/>
    <w:p>
      <w:pPr>
        <w:pStyle w:val="Heading3"/>
      </w:pPr>
      <w:r>
        <w:rPr>
          <w:b/>
          <w:bCs/>
        </w:rPr>
        <w:t xml:space="preserve">Entregamos software on-premise</w:t>
      </w:r>
    </w:p>
    <w:p>
      <w:r>
        <w:rPr>
          <w:color w:val="666666"/>
          <w:sz w:val="18"/>
          <w:szCs w:val="18"/>
        </w:rPr>
        <w:t xml:space="preserve">[boolean]  Obligatorio  -  Base jurídica: ENISA TIG §5.2(b)</w:t>
      </w:r>
    </w:p>
    <w:p>
      <w:pPr>
        <w:jc w:val="both"/>
      </w:pPr>
      <w:r>
        <w:t xml:space="preserve">Entrega software que los clientes instalan y ejecutan en su propia infraestructura.</w:t>
      </w:r>
    </w:p>
    <w:p/>
    <w:p>
      <w:pPr>
        <w:pStyle w:val="Heading3"/>
      </w:pPr>
      <w:r>
        <w:rPr>
          <w:b/>
          <w:bCs/>
        </w:rPr>
        <w:t xml:space="preserve">Ofrecemos servicios profesionales / consultoría</w:t>
      </w:r>
    </w:p>
    <w:p>
      <w:r>
        <w:rPr>
          <w:color w:val="666666"/>
          <w:sz w:val="18"/>
          <w:szCs w:val="18"/>
        </w:rPr>
        <w:t xml:space="preserve">[boolean]  Obligatorio  -  Base jurídica: ENISA TIG §5.2(b)</w:t>
      </w:r>
    </w:p>
    <w:p>
      <w:pPr>
        <w:jc w:val="both"/>
      </w:pPr>
      <w:r>
        <w:t xml:space="preserve">Su entregable principal es trabajo humano: consultoría, implementación, formación, auditoría o personalización.</w:t>
      </w:r>
    </w:p>
    <w:p/>
    <w:p>
      <w:pPr>
        <w:pStyle w:val="Heading3"/>
      </w:pPr>
      <w:r>
        <w:rPr>
          <w:b/>
          <w:bCs/>
        </w:rPr>
        <w:t xml:space="preserve">Ofrecemos servicios gestionados / MSP</w:t>
      </w:r>
    </w:p>
    <w:p>
      <w:r>
        <w:rPr>
          <w:color w:val="666666"/>
          <w:sz w:val="18"/>
          <w:szCs w:val="18"/>
        </w:rPr>
        <w:t xml:space="preserve">[boolean]  Obligatorio  -  Base jurídica: ENISA TIG §5.2(b)</w:t>
      </w:r>
    </w:p>
    <w:p>
      <w:pPr>
        <w:jc w:val="both"/>
      </w:pPr>
      <w:r>
        <w:t xml:space="preserve">Opera para el cliente partes de su TI, con personal propio. Típico de los modelos MSP y MSSP.</w:t>
      </w:r>
    </w:p>
    <w:p/>
    <w:p>
      <w:pPr>
        <w:pStyle w:val="Heading3"/>
      </w:pPr>
      <w:r>
        <w:rPr>
          <w:b/>
          <w:bCs/>
        </w:rPr>
        <w:t xml:space="preserve">Utilizamos, integramos o proporcionamos sistemas de IA</w:t>
      </w:r>
    </w:p>
    <w:p>
      <w:r>
        <w:rPr>
          <w:color w:val="666666"/>
          <w:sz w:val="18"/>
          <w:szCs w:val="18"/>
        </w:rPr>
        <w:t xml:space="preserve">[boolean]  Obligatorio  -  Base jurídica: NIS2 Art. 21(2)(d)</w:t>
      </w:r>
    </w:p>
    <w:p>
      <w:pPr>
        <w:jc w:val="both"/>
      </w:pPr>
      <w:r>
        <w:t xml:space="preserve">¿Sus productos o servicios tratan datos de los clientes mediante un modelo de IA o ML? Incluye modelos externos a los que llama a través de una API, por ejemplo OpenAI o Anthropic.</w:t>
      </w:r>
    </w:p>
    <w:p/>
    <w:p>
      <w:pPr>
        <w:pStyle w:val="Heading1"/>
      </w:pPr>
      <w:r>
        <w:rPr>
          <w:b/>
          <w:bCs/>
        </w:rPr>
        <w:t xml:space="preserve">2. Prácticas de seguridad  (26 campos)</w:t>
      </w:r>
    </w:p>
    <w:p>
      <w:pPr>
        <w:pStyle w:val="Heading3"/>
      </w:pPr>
      <w:r>
        <w:rPr>
          <w:b/>
          <w:bCs/>
        </w:rPr>
        <w:t xml:space="preserve">Sistema de gestión de la seguridad de la información documentado (ISMS)</w:t>
      </w:r>
    </w:p>
    <w:p>
      <w:r>
        <w:rPr>
          <w:color w:val="666666"/>
          <w:sz w:val="18"/>
          <w:szCs w:val="18"/>
        </w:rPr>
        <w:t xml:space="preserve">[boolean]  Obligatorio  -  Base jurídica: CIR 2024/2690 §5.1.2(a)</w:t>
      </w:r>
    </w:p>
    <w:p>
      <w:pPr>
        <w:jc w:val="both"/>
      </w:pPr>
      <w:r>
        <w:t xml:space="preserve">Marque sí si dispone de una política escrita de seguridad de la información con roles asignados, revisiones periódicas y gestión documentada de incidentes. Una certificación ISO 27001 o BSI Grundschutz implica sí.</w:t>
      </w:r>
    </w:p>
    <w:p/>
    <w:p>
      <w:pPr>
        <w:pStyle w:val="Heading3"/>
      </w:pPr>
      <w:r>
        <w:rPr>
          <w:b/>
          <w:bCs/>
        </w:rPr>
        <w:t xml:space="preserve">Disponer de certificación ISO 27001, BSI Grundschutz o equivalente</w:t>
      </w:r>
    </w:p>
    <w:p>
      <w:r>
        <w:rPr>
          <w:color w:val="666666"/>
          <w:sz w:val="18"/>
          <w:szCs w:val="18"/>
        </w:rPr>
        <w:t xml:space="preserve">[boolean]  Obligatorio  -  Base jurídica: CIR 2024/2690 §5.1.2(b)</w:t>
      </w:r>
    </w:p>
    <w:p>
      <w:pPr>
        <w:jc w:val="both"/>
      </w:pPr>
      <w:r>
        <w:t xml:space="preserve">Marque sí si su empresa dispone actualmente de una certificación ISO 27001, BSI Grundschutz, SOC 2 Type II o equivalente. Suba el certificado en la pestaña Certificaciones.</w:t>
      </w:r>
    </w:p>
    <w:p/>
    <w:p>
      <w:pPr>
        <w:pStyle w:val="Heading3"/>
      </w:pPr>
      <w:r>
        <w:rPr>
          <w:b/>
          <w:bCs/>
        </w:rPr>
        <w:t xml:space="preserve">Formación anual de concienciación en seguridad para todo el personal</w:t>
      </w:r>
    </w:p>
    <w:p>
      <w:r>
        <w:rPr>
          <w:color w:val="666666"/>
          <w:sz w:val="18"/>
          <w:szCs w:val="18"/>
        </w:rPr>
        <w:t xml:space="preserve">[boolean]  Obligatorio  -  Base jurídica: CIR 2024/2690 §5.1.4(b)</w:t>
      </w:r>
    </w:p>
    <w:p>
      <w:pPr>
        <w:jc w:val="both"/>
      </w:pPr>
      <w:r>
        <w:t xml:space="preserve">Marque sí si cada miembro del personal recibe al menos una formación anual de concienciación en seguridad de la información. El e-learning cuenta; las simulaciones de phishing se suman.</w:t>
      </w:r>
    </w:p>
    <w:p/>
    <w:p>
      <w:pPr>
        <w:pStyle w:val="Heading3"/>
      </w:pPr>
      <w:r>
        <w:rPr>
          <w:b/>
          <w:bCs/>
        </w:rPr>
        <w:t xml:space="preserve">Verificación de antecedentes del personal con acceso a datos de clientes</w:t>
      </w:r>
    </w:p>
    <w:p>
      <w:r>
        <w:rPr>
          <w:color w:val="666666"/>
          <w:sz w:val="18"/>
          <w:szCs w:val="18"/>
        </w:rPr>
        <w:t xml:space="preserve">[boolean]  Obligatorio  -  Base jurídica: CIR 2024/2690 §5.1.4(c)</w:t>
      </w:r>
    </w:p>
    <w:p>
      <w:pPr>
        <w:jc w:val="both"/>
      </w:pPr>
      <w:r>
        <w:t xml:space="preserve">Marque sí si realiza una verificación de antecedentes al personal con acceso a los datos de los clientes. Nivel habitual: certificado de antecedentes penales o documento equivalente en la contratación.</w:t>
      </w:r>
    </w:p>
    <w:p/>
    <w:p>
      <w:pPr>
        <w:pStyle w:val="Heading3"/>
      </w:pPr>
      <w:r>
        <w:rPr>
          <w:b/>
          <w:bCs/>
        </w:rPr>
        <w:t xml:space="preserve">Proceso documentado de gestión de vulnerabilidades y aplicación de parches</w:t>
      </w:r>
    </w:p>
    <w:p>
      <w:r>
        <w:rPr>
          <w:color w:val="666666"/>
          <w:sz w:val="18"/>
          <w:szCs w:val="18"/>
        </w:rPr>
        <w:t xml:space="preserve">[boolean]  Obligatorio  -  Base jurídica: CIR 2024/2690 §5.1.4(f)</w:t>
      </w:r>
    </w:p>
    <w:p>
      <w:pPr>
        <w:jc w:val="both"/>
      </w:pPr>
      <w:r>
        <w:t xml:space="preserve">Marque sí si dispone de un proceso escrito para gestionar las vulnerabilidades de seguridad: detectar, evaluar, priorizar, parchear o mitigar. La supervisión de CVE y la aplicación de parches basada en SLA son el estándar.</w:t>
      </w:r>
    </w:p>
    <w:p/>
    <w:p>
      <w:pPr>
        <w:pStyle w:val="Heading3"/>
      </w:pPr>
      <w:r>
        <w:rPr>
          <w:b/>
          <w:bCs/>
        </w:rPr>
        <w:t xml:space="preserve">Aceptar el derecho de auditoría del cliente (o proporcionar informes de auditoría)</w:t>
      </w:r>
    </w:p>
    <w:p>
      <w:r>
        <w:rPr>
          <w:color w:val="666666"/>
          <w:sz w:val="18"/>
          <w:szCs w:val="18"/>
        </w:rPr>
        <w:t xml:space="preserve">[boolean]  Obligatorio  -  Base jurídica: CIR 2024/2690 §5.1.4(e)</w:t>
      </w:r>
    </w:p>
    <w:p>
      <w:pPr>
        <w:jc w:val="both"/>
      </w:pPr>
      <w:r>
        <w:t xml:space="preserve">Marque sí si concede a los clientes un derecho de auditoría in situ o les proporciona informes de auditoría sustitutivos (por ejemplo SOC 2, ISAE 3402).</w:t>
      </w:r>
    </w:p>
    <w:p/>
    <w:p>
      <w:pPr>
        <w:pStyle w:val="Heading3"/>
      </w:pPr>
      <w:r>
        <w:rPr>
          <w:b/>
          <w:bCs/>
        </w:rPr>
        <w:t xml:space="preserve">Uso de subencargados / subproveedores</w:t>
      </w:r>
    </w:p>
    <w:p>
      <w:r>
        <w:rPr>
          <w:color w:val="666666"/>
          <w:sz w:val="18"/>
          <w:szCs w:val="18"/>
        </w:rPr>
        <w:t xml:space="preserve">[boolean]  Obligatorio  -  Base jurídica: CIR 2024/2690 §5.1.4(g)</w:t>
      </w:r>
    </w:p>
    <w:p>
      <w:pPr>
        <w:jc w:val="both"/>
      </w:pPr>
      <w:r>
        <w:t xml:space="preserve">Marque sí si recurre a otras empresas para prestar su servicio que tienen acceso a los datos o la infraestructura de los clientes. Ejemplos típicos: AWS, Azure, Cloudflare, Stripe.</w:t>
      </w:r>
    </w:p>
    <w:p/>
    <w:p>
      <w:pPr>
        <w:pStyle w:val="Heading3"/>
      </w:pPr>
      <w:r>
        <w:rPr>
          <w:b/>
          <w:bCs/>
        </w:rPr>
        <w:t xml:space="preserve">Lista de subencargados</w:t>
      </w:r>
    </w:p>
    <w:p>
      <w:r>
        <w:rPr>
          <w:color w:val="666666"/>
          <w:sz w:val="18"/>
          <w:szCs w:val="18"/>
        </w:rPr>
        <w:t xml:space="preserve">[text]  Condicional  -  Base jurídica: CIR 2024/2690 §5.1.4(g)</w:t>
      </w:r>
    </w:p>
    <w:p>
      <w:pPr>
        <w:jc w:val="both"/>
      </w:pPr>
      <w:r>
        <w:t xml:space="preserve">Enumere cada subencargado con su nombre, lugar de tratamiento y lo que hace por usted. Basta con una tabla o una lista de viñetas. Actualícela cada vez que añada o elimine uno.</w:t>
      </w:r>
    </w:p>
    <w:p/>
    <w:p>
      <w:pPr>
        <w:pStyle w:val="Heading3"/>
      </w:pPr>
      <w:r>
        <w:rPr>
          <w:b/>
          <w:bCs/>
        </w:rPr>
        <w:t xml:space="preserve">Comprometerse a devolver / destruir los datos del cliente al finalizar el contrato</w:t>
      </w:r>
    </w:p>
    <w:p>
      <w:r>
        <w:rPr>
          <w:color w:val="666666"/>
          <w:sz w:val="18"/>
          <w:szCs w:val="18"/>
        </w:rPr>
        <w:t xml:space="preserve">[boolean]  Obligatorio  -  Base jurídica: CIR 2024/2690 §5.1.4(h)</w:t>
      </w:r>
    </w:p>
    <w:p>
      <w:pPr>
        <w:jc w:val="both"/>
      </w:pPr>
      <w:r>
        <w:t xml:space="preserve">Marque sí si se compromete contractualmente a devolver o destruir los datos del cliente al finalizar el contrato. Práctica habitual: exportar y devolver, y luego eliminar en un plazo de 30 días.</w:t>
      </w:r>
    </w:p>
    <w:p/>
    <w:p>
      <w:pPr>
        <w:pStyle w:val="Heading3"/>
      </w:pPr>
      <w:r>
        <w:rPr>
          <w:b/>
          <w:bCs/>
        </w:rPr>
        <w:t xml:space="preserve">Contrato estándar de tratamiento de datos (DPA) disponible</w:t>
      </w:r>
    </w:p>
    <w:p>
      <w:r>
        <w:rPr>
          <w:color w:val="666666"/>
          <w:sz w:val="18"/>
          <w:szCs w:val="18"/>
        </w:rPr>
        <w:t xml:space="preserve">[boolean]  Obligatorio  -  Base jurídica: GDPR Art. 28</w:t>
      </w:r>
    </w:p>
    <w:p>
      <w:pPr>
        <w:jc w:val="both"/>
      </w:pPr>
      <w:r>
        <w:t xml:space="preserve">Marque sí si dispone de un contrato estándar de tratamiento de datos conforme al artículo 28 del GDPR que los clientes puedan firmar. Obligatorio en cuanto trate datos personales.</w:t>
      </w:r>
    </w:p>
    <w:p/>
    <w:p>
      <w:pPr>
        <w:pStyle w:val="Heading3"/>
      </w:pPr>
      <w:r>
        <w:rPr>
          <w:b/>
          <w:bCs/>
        </w:rPr>
        <w:t xml:space="preserve">Las políticas de seguridad se revisan al menos una vez al año</w:t>
      </w:r>
    </w:p>
    <w:p>
      <w:r>
        <w:rPr>
          <w:color w:val="666666"/>
          <w:sz w:val="18"/>
          <w:szCs w:val="18"/>
        </w:rPr>
        <w:t xml:space="preserve">[boolean]  Obligatorio  -  Base jurídica: NIS2 Art. 21(2)(a) / ENISA TIG §1.1</w:t>
      </w:r>
    </w:p>
    <w:p>
      <w:pPr>
        <w:jc w:val="both"/>
      </w:pPr>
      <w:r>
        <w:t xml:space="preserve">Marque sí si sus políticas de seguridad se revisan al menos una vez al año y se actualizan según sea necesario. Una nota escrita en el documento basta como prueba.</w:t>
      </w:r>
    </w:p>
    <w:p/>
    <w:p>
      <w:pPr>
        <w:pStyle w:val="Heading3"/>
      </w:pPr>
      <w:r>
        <w:rPr>
          <w:b/>
          <w:bCs/>
        </w:rPr>
        <w:t xml:space="preserve">Plan de respuesta a incidentes documentado</w:t>
      </w:r>
    </w:p>
    <w:p>
      <w:r>
        <w:rPr>
          <w:color w:val="666666"/>
          <w:sz w:val="18"/>
          <w:szCs w:val="18"/>
        </w:rPr>
        <w:t xml:space="preserve">[boolean]  Obligatorio  -  Base jurídica: NIS2 Art. 21(2)(b) / ENISA TIG §3</w:t>
      </w:r>
    </w:p>
    <w:p>
      <w:pPr>
        <w:jc w:val="both"/>
      </w:pPr>
      <w:r>
        <w:t xml:space="preserve">Marque sí si dispone de un plan escrito para gestionar los incidentes de seguridad: quién decide, quién comunica, quién documenta. Al menos un ejercicio de simulación al año es una buena práctica.</w:t>
      </w:r>
    </w:p>
    <w:p/>
    <w:p>
      <w:pPr>
        <w:pStyle w:val="Heading3"/>
      </w:pPr>
      <w:r>
        <w:rPr>
          <w:b/>
          <w:bCs/>
        </w:rPr>
        <w:t xml:space="preserve">Plan de continuidad de negocio / recuperación ante desastres documentado</w:t>
      </w:r>
    </w:p>
    <w:p>
      <w:r>
        <w:rPr>
          <w:color w:val="666666"/>
          <w:sz w:val="18"/>
          <w:szCs w:val="18"/>
        </w:rPr>
        <w:t xml:space="preserve">[boolean]  Obligatorio  -  Base jurídica: NIS2 Art. 21(2)(c) / ENISA TIG §4</w:t>
      </w:r>
    </w:p>
    <w:p>
      <w:pPr>
        <w:jc w:val="both"/>
      </w:pPr>
      <w:r>
        <w:t xml:space="preserve">Marque sí si dispone de un plan que explique cómo mantiene el funcionamiento o se recupera con rapidez durante una interrupción: sistemas críticos, alternativas, objetivos RTO y RPO.</w:t>
      </w:r>
    </w:p>
    <w:p/>
    <w:p>
      <w:pPr>
        <w:pStyle w:val="Heading3"/>
      </w:pPr>
      <w:r>
        <w:rPr>
          <w:b/>
          <w:bCs/>
        </w:rPr>
        <w:t xml:space="preserve">Política de criptografía documentada</w:t>
      </w:r>
    </w:p>
    <w:p>
      <w:r>
        <w:rPr>
          <w:color w:val="666666"/>
          <w:sz w:val="18"/>
          <w:szCs w:val="18"/>
        </w:rPr>
        <w:t xml:space="preserve">[boolean]  Obligatorio  -  Base jurídica: NIS2 Art. 21(2)(h) / ENISA TIG §9</w:t>
      </w:r>
    </w:p>
    <w:p>
      <w:pPr>
        <w:jc w:val="both"/>
      </w:pPr>
      <w:r>
        <w:t xml:space="preserve">Marque sí si ha documentado por escrito qué criptografía usa y dónde: datos en tránsito (TLS 1.2+), datos en reposo (AES-256), gestión de claves, algoritmos de hash.</w:t>
      </w:r>
    </w:p>
    <w:p/>
    <w:p>
      <w:pPr>
        <w:pStyle w:val="Heading3"/>
      </w:pPr>
      <w:r>
        <w:rPr>
          <w:b/>
          <w:bCs/>
        </w:rPr>
        <w:t xml:space="preserve">Gestión de accesos privilegiados (PAM) para el personal interno</w:t>
      </w:r>
    </w:p>
    <w:p>
      <w:r>
        <w:rPr>
          <w:color w:val="666666"/>
          <w:sz w:val="18"/>
          <w:szCs w:val="18"/>
        </w:rPr>
        <w:t xml:space="preserve">[boolean]  Obligatorio  -  Base jurídica: NIS2 Art. 21(2)(i) / ENISA TIG §11.3</w:t>
      </w:r>
    </w:p>
    <w:p>
      <w:pPr>
        <w:jc w:val="both"/>
      </w:pPr>
      <w:r>
        <w:t xml:space="preserve">Marque sí si los administradores y las cuentas privilegiadas cuentan con controles adicionales: inicio de sesión separado, MFA, registro de sesiones o acceso just-in-time.</w:t>
      </w:r>
    </w:p>
    <w:p/>
    <w:p>
      <w:pPr>
        <w:pStyle w:val="Heading3"/>
      </w:pPr>
      <w:r>
        <w:rPr>
          <w:b/>
          <w:bCs/>
        </w:rPr>
        <w:t xml:space="preserve">MFA obligatorio para todas las cuentas internas de administración / privilegiadas</w:t>
      </w:r>
    </w:p>
    <w:p>
      <w:r>
        <w:rPr>
          <w:color w:val="666666"/>
          <w:sz w:val="18"/>
          <w:szCs w:val="18"/>
        </w:rPr>
        <w:t xml:space="preserve">[boolean]  Obligatorio  -  Base jurídica: NIS2 Art. 21(2)(j)</w:t>
      </w:r>
    </w:p>
    <w:p>
      <w:pPr>
        <w:jc w:val="both"/>
      </w:pPr>
      <w:r>
        <w:t xml:space="preserve">Marque sí si cada cuenta interna de administración o privilegiada debe usar MFA. Los tokens de hardware o las aplicaciones de autenticación cuentan; los SMS no.</w:t>
      </w:r>
    </w:p>
    <w:p/>
    <w:p>
      <w:pPr>
        <w:pStyle w:val="Heading3"/>
      </w:pPr>
      <w:r>
        <w:rPr>
          <w:b/>
          <w:bCs/>
        </w:rPr>
        <w:t xml:space="preserve">Mantener un inventario de activos de información</w:t>
      </w:r>
    </w:p>
    <w:p>
      <w:r>
        <w:rPr>
          <w:color w:val="666666"/>
          <w:sz w:val="18"/>
          <w:szCs w:val="18"/>
        </w:rPr>
        <w:t xml:space="preserve">[boolean]  Obligatorio  -  Base jurídica: NIS2 Art. 21(2)(i) / ENISA TIG §12.4</w:t>
      </w:r>
    </w:p>
    <w:p>
      <w:pPr>
        <w:jc w:val="both"/>
      </w:pPr>
      <w:r>
        <w:t xml:space="preserve">Marque sí si mantiene una lista actualizada de cada sistema de información que utiliza para prestar su servicio: servidores, bases de datos, herramientas SaaS, endpoints. Basta con una hoja de cálculo.</w:t>
      </w:r>
    </w:p>
    <w:p/>
    <w:p>
      <w:pPr>
        <w:pStyle w:val="Heading3"/>
      </w:pPr>
      <w:r>
        <w:rPr>
          <w:b/>
          <w:bCs/>
        </w:rPr>
        <w:t xml:space="preserve">Programa de pruebas de penetración anual o bienal</w:t>
      </w:r>
    </w:p>
    <w:p>
      <w:r>
        <w:rPr>
          <w:color w:val="666666"/>
          <w:sz w:val="18"/>
          <w:szCs w:val="18"/>
        </w:rPr>
        <w:t xml:space="preserve">[boolean]  Obligatorio  -  Base jurídica: NIS2 Art. 21(2)(e) / ENISA TIG §6.5</w:t>
      </w:r>
    </w:p>
    <w:p>
      <w:pPr>
        <w:jc w:val="both"/>
      </w:pPr>
      <w:r>
        <w:t xml:space="preserve">Marque sí si encarga una prueba de penetración externa al menos cada uno o dos años. Para las empresas más pequeñas, un escaneo de vulnerabilidades externo como paso mínimo es aceptable.</w:t>
      </w:r>
    </w:p>
    <w:p/>
    <w:p>
      <w:pPr>
        <w:pStyle w:val="Heading3"/>
      </w:pPr>
      <w:r>
        <w:rPr>
          <w:b/>
          <w:bCs/>
        </w:rPr>
        <w:t xml:space="preserve">Divulgamos los eventos de ciberseguridad notificables pasados cuando los clientes lo solicitan</w:t>
      </w:r>
    </w:p>
    <w:p>
      <w:r>
        <w:rPr>
          <w:color w:val="666666"/>
          <w:sz w:val="18"/>
          <w:szCs w:val="18"/>
        </w:rPr>
        <w:t xml:space="preserve">[boolean]  Obligatorio  -  Base jurídica: ENISA TIG §5.1.2</w:t>
      </w:r>
    </w:p>
    <w:p>
      <w:pPr>
        <w:jc w:val="both"/>
      </w:pPr>
      <w:r>
        <w:t xml:space="preserve">Marque sí si, a petición del cliente, divulga abiertamente si su empresa tuvo en el pasado incidentes de seguridad notificables y cuáles. Ventana habitual: los últimos tres a cinco años.</w:t>
      </w:r>
    </w:p>
    <w:p/>
    <w:p>
      <w:pPr>
        <w:pStyle w:val="Heading3"/>
      </w:pPr>
      <w:r>
        <w:rPr>
          <w:b/>
          <w:bCs/>
        </w:rPr>
        <w:t xml:space="preserve">Prestar asistencia a los clientes en caso de incidente sin coste / a coste predefinido</w:t>
      </w:r>
    </w:p>
    <w:p>
      <w:r>
        <w:rPr>
          <w:color w:val="666666"/>
          <w:sz w:val="18"/>
          <w:szCs w:val="18"/>
        </w:rPr>
        <w:t xml:space="preserve">[boolean]  Obligatorio  -  Base jurídica: ENISA TIG §5.1.4 TIPS</w:t>
      </w:r>
    </w:p>
    <w:p>
      <w:pPr>
        <w:jc w:val="both"/>
      </w:pPr>
      <w:r>
        <w:t xml:space="preserve">Marque sí si se compromete a ayudar a los clientes sin coste adicional cuando un incidente es causado por su producto o servicio. Si en su lugar acuerda de antemano una tarifa diaria predefinida, marque también sí.</w:t>
      </w:r>
    </w:p>
    <w:p/>
    <w:p>
      <w:pPr>
        <w:pStyle w:val="Heading3"/>
      </w:pPr>
      <w:r>
        <w:rPr>
          <w:b/>
          <w:bCs/>
        </w:rPr>
        <w:t xml:space="preserve">Cooperar plenamente con las autoridades competentes (BSI, ENISA, CSIRT nacionales)</w:t>
      </w:r>
    </w:p>
    <w:p>
      <w:r>
        <w:rPr>
          <w:color w:val="666666"/>
          <w:sz w:val="18"/>
          <w:szCs w:val="18"/>
        </w:rPr>
        <w:t xml:space="preserve">[boolean]  Obligatorio  -  Base jurídica: ENISA TIG §5.1.4 TIPS</w:t>
      </w:r>
    </w:p>
    <w:p>
      <w:pPr>
        <w:jc w:val="both"/>
      </w:pPr>
      <w:r>
        <w:t xml:space="preserve">Marque sí si se compromete a cooperar plenamente con las autoridades competentes como el BSI, la ENISA o los CSIRT nacionales durante las inspecciones, las auditorías y la gestión de incidentes. Estándar para los proveedores serios.</w:t>
      </w:r>
    </w:p>
    <w:p/>
    <w:p>
      <w:pPr>
        <w:pStyle w:val="Heading3"/>
      </w:pPr>
      <w:r>
        <w:rPr>
          <w:b/>
          <w:bCs/>
        </w:rPr>
        <w:t xml:space="preserve">Notificar a los clientes cualquier cambio sustancial que afecte a la prestación del servicio</w:t>
      </w:r>
    </w:p>
    <w:p>
      <w:r>
        <w:rPr>
          <w:color w:val="666666"/>
          <w:sz w:val="18"/>
          <w:szCs w:val="18"/>
        </w:rPr>
        <w:t xml:space="preserve">[boolean]  Obligatorio  -  Base jurídica: ENISA TIG §5.1.4 TIPS</w:t>
      </w:r>
    </w:p>
    <w:p>
      <w:pPr>
        <w:jc w:val="both"/>
      </w:pPr>
      <w:r>
        <w:t xml:space="preserve">Marque sí si se compromete a notificar a los clientes cualquier cambio sustancial que afecte a su capacidad de prestar el servicio: adquisiciones, cambios de subencargado, cambios técnicos importantes.</w:t>
      </w:r>
    </w:p>
    <w:p/>
    <w:p>
      <w:pPr>
        <w:pStyle w:val="Heading3"/>
      </w:pPr>
      <w:r>
        <w:rPr>
          <w:b/>
          <w:bCs/>
        </w:rPr>
        <w:t xml:space="preserve">Notificar a los clientes con antelación si cambian los lugares de tratamiento de datos</w:t>
      </w:r>
    </w:p>
    <w:p>
      <w:r>
        <w:rPr>
          <w:color w:val="666666"/>
          <w:sz w:val="18"/>
          <w:szCs w:val="18"/>
        </w:rPr>
        <w:t xml:space="preserve">[boolean]  Obligatorio  -  Base jurídica: ENISA TIG §5.1.4 TIPS</w:t>
      </w:r>
    </w:p>
    <w:p>
      <w:pPr>
        <w:jc w:val="both"/>
      </w:pPr>
      <w:r>
        <w:t xml:space="preserve">Marque sí si informa a los clientes con antelación antes de que cambie el lugar de tratamiento de sus datos. Importante para la protección de datos y para una supervisión de la cadena de suministro conforme al GDPR.</w:t>
      </w:r>
    </w:p>
    <w:p/>
    <w:p>
      <w:pPr>
        <w:pStyle w:val="Heading3"/>
      </w:pPr>
      <w:r>
        <w:rPr>
          <w:b/>
          <w:bCs/>
        </w:rPr>
        <w:t xml:space="preserve">Estrategia de salida documentada con periodo de transición obligatorio</w:t>
      </w:r>
    </w:p>
    <w:p>
      <w:r>
        <w:rPr>
          <w:color w:val="666666"/>
          <w:sz w:val="18"/>
          <w:szCs w:val="18"/>
        </w:rPr>
        <w:t xml:space="preserve">[boolean]  Obligatorio  -  Base jurídica: ENISA TIG §5.1.4 TIPS</w:t>
      </w:r>
    </w:p>
    <w:p>
      <w:pPr>
        <w:jc w:val="both"/>
      </w:pPr>
      <w:r>
        <w:t xml:space="preserve">Marque sí si dispone de una estrategia de salida escrita: cuánto dura un traspaso ordenado, qué datos y conocimientos se transfieren, a qué se compromete durante la transición.</w:t>
      </w:r>
    </w:p>
    <w:p/>
    <w:p>
      <w:pPr>
        <w:pStyle w:val="Heading3"/>
      </w:pPr>
      <w:r>
        <w:rPr>
          <w:b/>
          <w:bCs/>
        </w:rPr>
        <w:t xml:space="preserve">Proporcionar un SBOM-for-AI según los elementos mínimos del G7</w:t>
      </w:r>
    </w:p>
    <w:p>
      <w:r>
        <w:rPr>
          <w:color w:val="666666"/>
          <w:sz w:val="18"/>
          <w:szCs w:val="18"/>
        </w:rPr>
        <w:t xml:space="preserve">[boolean]  Condicional  -  Base jurídica: NIS2 Art. 21(2)(d) / ENISA TIG §5.1.2</w:t>
      </w:r>
    </w:p>
    <w:p>
      <w:pPr>
        <w:jc w:val="both"/>
      </w:pPr>
      <w:r>
        <w:t xml:space="preserve">Opcional. Marque sí si puede proporcionar un SBOM-for-AI según los elementos mínimos del G7 (mayo de 2026). Documenta metadatos, modelos, datos de entrenamiento, infraestructura, propiedades de seguridad, KPI y comportamiento del sistema. Estándar voluntario.</w:t>
      </w:r>
    </w:p>
    <w:p/>
    <w:p>
      <w:pPr>
        <w:pStyle w:val="Heading3"/>
      </w:pPr>
      <w:r>
        <w:rPr>
          <w:b/>
          <w:bCs/>
        </w:rPr>
        <w:t xml:space="preserve">URL del documento SBOM-for-AI</w:t>
      </w:r>
    </w:p>
    <w:p>
      <w:r>
        <w:rPr>
          <w:color w:val="666666"/>
          <w:sz w:val="18"/>
          <w:szCs w:val="18"/>
        </w:rPr>
        <w:t xml:space="preserve">[url]  Condicional  -  Base jurídica: NIS2 Art. 21(2)(d) / ENISA TIG §5.1.2</w:t>
      </w:r>
    </w:p>
    <w:p>
      <w:pPr>
        <w:jc w:val="both"/>
      </w:pPr>
      <w:r>
        <w:t xml:space="preserve">URL pública o compartida de su documento SBOM-for-AI. Puede ser un PDF, un archivo JSON o una página de proyecto.</w:t>
      </w:r>
    </w:p>
    <w:p/>
    <w:p>
      <w:pPr>
        <w:pStyle w:val="Heading1"/>
      </w:pPr>
      <w:r>
        <w:rPr>
          <w:b/>
          <w:bCs/>
        </w:rPr>
        <w:t xml:space="preserve">3. Específico de SaaS  (5 campos)</w:t>
      </w:r>
    </w:p>
    <w:p>
      <w:pPr>
        <w:pStyle w:val="Heading3"/>
      </w:pPr>
      <w:r>
        <w:rPr>
          <w:b/>
          <w:bCs/>
        </w:rPr>
        <w:t xml:space="preserve">Región de alojamiento</w:t>
      </w:r>
    </w:p>
    <w:p>
      <w:r>
        <w:rPr>
          <w:color w:val="666666"/>
          <w:sz w:val="18"/>
          <w:szCs w:val="18"/>
        </w:rPr>
        <w:t xml:space="preserve">[string]  Condicional  -  Base jurídica: ENISA TIG §5.2</w:t>
      </w:r>
    </w:p>
    <w:p>
      <w:pPr>
        <w:jc w:val="both"/>
      </w:pPr>
      <w:r>
        <w:t xml:space="preserve">La región de la nube donde se alojan los datos de los clientes. Ejemplo: AWS eu-central-1, Azure West Europe. Indique la región principal; las regiones secundarias o de respaldo pueden añadirse separadas por comas.</w:t>
      </w:r>
    </w:p>
    <w:p/>
    <w:p>
      <w:pPr>
        <w:pStyle w:val="Heading3"/>
      </w:pPr>
      <w:r>
        <w:rPr>
          <w:b/>
          <w:bCs/>
        </w:rPr>
        <w:t xml:space="preserve">Cifrado en reposo</w:t>
      </w:r>
    </w:p>
    <w:p>
      <w:r>
        <w:rPr>
          <w:color w:val="666666"/>
          <w:sz w:val="18"/>
          <w:szCs w:val="18"/>
        </w:rPr>
        <w:t xml:space="preserve">[boolean]  Condicional  -  Base jurídica: NIS2 Art. 21(2)(h) / ENISA TIG §9</w:t>
      </w:r>
    </w:p>
    <w:p>
      <w:pPr>
        <w:jc w:val="both"/>
      </w:pPr>
      <w:r>
        <w:t xml:space="preserve">Marque sí si los datos de los clientes en disco están cifrados en reposo con AES-256 o equivalente. El cifrado de disco gestionado por la nube (AWS EBS, Azure Disk Encryption) cuenta.</w:t>
      </w:r>
    </w:p>
    <w:p/>
    <w:p>
      <w:pPr>
        <w:pStyle w:val="Heading3"/>
      </w:pPr>
      <w:r>
        <w:rPr>
          <w:b/>
          <w:bCs/>
        </w:rPr>
        <w:t xml:space="preserve">Cifrado en tránsito (TLS ≥ 1.2)</w:t>
      </w:r>
    </w:p>
    <w:p>
      <w:r>
        <w:rPr>
          <w:color w:val="666666"/>
          <w:sz w:val="18"/>
          <w:szCs w:val="18"/>
        </w:rPr>
        <w:t xml:space="preserve">[boolean]  Condicional  -  Base jurídica: NIS2 Art. 21(2)(h) / ENISA TIG §9</w:t>
      </w:r>
    </w:p>
    <w:p>
      <w:pPr>
        <w:jc w:val="both"/>
      </w:pPr>
      <w:r>
        <w:t xml:space="preserve">Marque sí si todos los puntos de acceso orientados al cliente exigen TLS 1.2 o superior. Se prefiere TLS 1.3. El HTTP simple debe redirigir a HTTPS.</w:t>
      </w:r>
    </w:p>
    <w:p/>
    <w:p>
      <w:pPr>
        <w:pStyle w:val="Heading3"/>
      </w:pPr>
      <w:r>
        <w:rPr>
          <w:b/>
          <w:bCs/>
        </w:rPr>
        <w:t xml:space="preserve">MFA obligatorio para todas las cuentas de administración</w:t>
      </w:r>
    </w:p>
    <w:p>
      <w:r>
        <w:rPr>
          <w:color w:val="666666"/>
          <w:sz w:val="18"/>
          <w:szCs w:val="18"/>
        </w:rPr>
        <w:t xml:space="preserve">[boolean]  Condicional  -  Base jurídica: NIS2 Art. 21(2)(j) / ENISA TIG §11.3</w:t>
      </w:r>
    </w:p>
    <w:p>
      <w:pPr>
        <w:jc w:val="both"/>
      </w:pPr>
      <w:r>
        <w:t xml:space="preserve">Marque sí si cada cuenta de administración interna en la plataforma SaaS debe usar MFA. El mismo estándar que su política de administración interna.</w:t>
      </w:r>
    </w:p>
    <w:p/>
    <w:p>
      <w:pPr>
        <w:pStyle w:val="Heading3"/>
      </w:pPr>
      <w:r>
        <w:rPr>
          <w:b/>
          <w:bCs/>
        </w:rPr>
        <w:t xml:space="preserve">Objetivo de tiempo de recuperación (RTO) en horas</w:t>
      </w:r>
    </w:p>
    <w:p>
      <w:r>
        <w:rPr>
          <w:color w:val="666666"/>
          <w:sz w:val="18"/>
          <w:szCs w:val="18"/>
        </w:rPr>
        <w:t xml:space="preserve">[integer]  Condicional  -  Base jurídica: NIS2 Art. 21(2)(c) / ENISA TIG §4</w:t>
      </w:r>
    </w:p>
    <w:p>
      <w:pPr>
        <w:jc w:val="both"/>
      </w:pPr>
      <w:r>
        <w:t xml:space="preserve">Número máximo de horas que su servicio puede estar no disponible antes de la recuperación. Valor de SLA realista, no aspiracional. Valores habituales de SaaS: 4, 8 o 24 horas.</w:t>
      </w:r>
    </w:p>
    <w:p/>
    <w:p>
      <w:pPr>
        <w:pStyle w:val="Heading1"/>
      </w:pPr>
      <w:r>
        <w:rPr>
          <w:b/>
          <w:bCs/>
        </w:rPr>
        <w:t xml:space="preserve">4. Específico de On-Premise  (4 campos)</w:t>
      </w:r>
    </w:p>
    <w:p>
      <w:pPr>
        <w:pStyle w:val="Heading3"/>
      </w:pPr>
      <w:r>
        <w:rPr>
          <w:b/>
          <w:bCs/>
        </w:rPr>
        <w:t xml:space="preserve">Proporcionar una lista de materiales de software (SBOM)</w:t>
      </w:r>
    </w:p>
    <w:p>
      <w:r>
        <w:rPr>
          <w:color w:val="666666"/>
          <w:sz w:val="18"/>
          <w:szCs w:val="18"/>
        </w:rPr>
        <w:t xml:space="preserve">[boolean]  Condicional  -  Base jurídica: CRA / NIS2 Art. 21(2)(d)</w:t>
      </w:r>
    </w:p>
    <w:p>
      <w:pPr>
        <w:jc w:val="both"/>
      </w:pPr>
      <w:r>
        <w:t xml:space="preserve">Marque sí si entrega una lista de materiales de software (SBOM) con cada versión. CycloneDX o SPDX son los formatos estándar. Obligatorio en virtud del Cyber Resilience Act para los productos introducidos en el mercado de la UE a partir de diciembre de 2027.</w:t>
      </w:r>
    </w:p>
    <w:p/>
    <w:p>
      <w:pPr>
        <w:pStyle w:val="Heading3"/>
      </w:pPr>
      <w:r>
        <w:rPr>
          <w:b/>
          <w:bCs/>
        </w:rPr>
        <w:t xml:space="preserve">Las versiones están firmadas criptográficamente</w:t>
      </w:r>
    </w:p>
    <w:p>
      <w:r>
        <w:rPr>
          <w:color w:val="666666"/>
          <w:sz w:val="18"/>
          <w:szCs w:val="18"/>
        </w:rPr>
        <w:t xml:space="preserve">[boolean]  Condicional  -  Base jurídica: NIS2 Art. 21(2)(e) / ENISA TIG §6.5</w:t>
      </w:r>
    </w:p>
    <w:p>
      <w:pPr>
        <w:jc w:val="both"/>
      </w:pPr>
      <w:r>
        <w:t xml:space="preserve">Marque sí si cada artefacto de versión lleva una firma criptográfica que los clientes puedan verificar. Las claves de firma están documentadas y se rotan. Las firmas Sigstore o PGP cuentan ambas.</w:t>
      </w:r>
    </w:p>
    <w:p/>
    <w:p>
      <w:pPr>
        <w:pStyle w:val="Heading3"/>
      </w:pPr>
      <w:r>
        <w:rPr>
          <w:b/>
          <w:bCs/>
        </w:rPr>
        <w:t xml:space="preserve">Política de divulgación de vulnerabilidades publicada</w:t>
      </w:r>
    </w:p>
    <w:p>
      <w:r>
        <w:rPr>
          <w:color w:val="666666"/>
          <w:sz w:val="18"/>
          <w:szCs w:val="18"/>
        </w:rPr>
        <w:t xml:space="preserve">[boolean]  Condicional  -  Base jurídica: NIS2 Art. 21(2)(e) / ENISA TIG §3</w:t>
      </w:r>
    </w:p>
    <w:p>
      <w:pPr>
        <w:jc w:val="both"/>
      </w:pPr>
      <w:r>
        <w:t xml:space="preserve">Marque sí si dispone de una vía documentada públicamente para notificar vulnerabilidades de seguridad. Basta con un archivo security.txt en su dominio (conforme a RFC 9116) o un correo electrónico dedicado como security@example.com.</w:t>
      </w:r>
    </w:p>
    <w:p/>
    <w:p>
      <w:pPr>
        <w:pStyle w:val="Heading3"/>
      </w:pPr>
      <w:r>
        <w:rPr>
          <w:b/>
          <w:bCs/>
        </w:rPr>
        <w:t xml:space="preserve">SLA de parches para CVE críticas (horas)</w:t>
      </w:r>
    </w:p>
    <w:p>
      <w:r>
        <w:rPr>
          <w:color w:val="666666"/>
          <w:sz w:val="18"/>
          <w:szCs w:val="18"/>
        </w:rPr>
        <w:t xml:space="preserve">[integer]  Condicional  -  Base jurídica: CIR 2024/2690 §5.1.4(f)</w:t>
      </w:r>
    </w:p>
    <w:p>
      <w:pPr>
        <w:jc w:val="both"/>
      </w:pPr>
      <w:r>
        <w:t xml:space="preserve">Horas desde la divulgación pública de una CVE hasta una versión parcheada para las vulnerabilidades críticas (CVSS 9.0+). Compromiso realista, no aspiracional. Valores habituales: 24, 48 o 72 horas.</w:t>
      </w:r>
    </w:p>
    <w:p/>
    <w:p>
      <w:pPr>
        <w:pStyle w:val="Heading1"/>
      </w:pPr>
      <w:r>
        <w:rPr>
          <w:b/>
          <w:bCs/>
        </w:rPr>
        <w:t xml:space="preserve">5. Professional Services  (3 campos)</w:t>
      </w:r>
    </w:p>
    <w:p>
      <w:pPr>
        <w:pStyle w:val="Heading3"/>
      </w:pPr>
      <w:r>
        <w:rPr>
          <w:b/>
          <w:bCs/>
        </w:rPr>
        <w:t xml:space="preserve">Alcance de la verificación de antecedentes</w:t>
      </w:r>
    </w:p>
    <w:p>
      <w:r>
        <w:rPr>
          <w:color w:val="666666"/>
          <w:sz w:val="18"/>
          <w:szCs w:val="18"/>
        </w:rPr>
        <w:t xml:space="preserve">[string]  Condicional  -  Base jurídica: NIS2 Art. 21(2)(i) / CIR 2024/2690 §5.1.4(c)</w:t>
      </w:r>
    </w:p>
    <w:p>
      <w:pPr>
        <w:jc w:val="both"/>
      </w:pPr>
      <w:r>
        <w:t xml:space="preserve">Describa cómo evalúa a los consultores para los puestos sensibles. Ejemplo: certificado de antecedentes penales para todos los consultores, además de verificación de referencias para los encargos que impliquen datos clasificados.</w:t>
      </w:r>
    </w:p>
    <w:p/>
    <w:p>
      <w:pPr>
        <w:pStyle w:val="Heading3"/>
      </w:pPr>
      <w:r>
        <w:rPr>
          <w:b/>
          <w:bCs/>
        </w:rPr>
        <w:t xml:space="preserve">NDA firmado con todos los consultores</w:t>
      </w:r>
    </w:p>
    <w:p>
      <w:r>
        <w:rPr>
          <w:color w:val="666666"/>
          <w:sz w:val="18"/>
          <w:szCs w:val="18"/>
        </w:rPr>
        <w:t xml:space="preserve">[boolean]  Condicional  -  Base jurídica: NIS2 Art. 21(2)(i) / ENISA TIG §11.4</w:t>
      </w:r>
    </w:p>
    <w:p>
      <w:pPr>
        <w:jc w:val="both"/>
      </w:pPr>
      <w:r>
        <w:t xml:space="preserve">Marque sí si cada consultor firma un acuerdo de confidencialidad antes de ser asignado al trabajo con el cliente. Ya sea como parte del contrato laboral o como un NDA independiente.</w:t>
      </w:r>
    </w:p>
    <w:p/>
    <w:p>
      <w:pPr>
        <w:pStyle w:val="Heading3"/>
      </w:pPr>
      <w:r>
        <w:rPr>
          <w:b/>
          <w:bCs/>
        </w:rPr>
        <w:t xml:space="preserve">Política de conducta documentada en las instalaciones del cliente</w:t>
      </w:r>
    </w:p>
    <w:p>
      <w:r>
        <w:rPr>
          <w:color w:val="666666"/>
          <w:sz w:val="18"/>
          <w:szCs w:val="18"/>
        </w:rPr>
        <w:t xml:space="preserve">[boolean]  Condicional  -  Base jurídica: NIS2 Art. 21(2)(i) / ENISA TIG §11.3</w:t>
      </w:r>
    </w:p>
    <w:p>
      <w:pPr>
        <w:jc w:val="both"/>
      </w:pPr>
      <w:r>
        <w:t xml:space="preserve">Marque sí si dispone de un código de conducta escrito para los consultores que trabajan en las instalaciones del cliente: gestión de credenciales, regla de bloqueo de pantalla, qué hacer si los datos salen del emplazamiento.</w:t>
      </w:r>
    </w:p>
    <w:p/>
    <w:p>
      <w:pPr>
        <w:pStyle w:val="Heading1"/>
      </w:pPr>
      <w:r>
        <w:rPr>
          <w:b/>
          <w:bCs/>
        </w:rPr>
        <w:t xml:space="preserve">6. Managed Services  (3 campos)</w:t>
      </w:r>
    </w:p>
    <w:p>
      <w:pPr>
        <w:pStyle w:val="Heading3"/>
      </w:pPr>
      <w:r>
        <w:rPr>
          <w:b/>
          <w:bCs/>
        </w:rPr>
        <w:t xml:space="preserve">Gestión de accesos privilegiados (PAM) implantada</w:t>
      </w:r>
    </w:p>
    <w:p>
      <w:r>
        <w:rPr>
          <w:color w:val="666666"/>
          <w:sz w:val="18"/>
          <w:szCs w:val="18"/>
        </w:rPr>
        <w:t xml:space="preserve">[boolean]  Condicional  -  Base jurídica: NIS2 Art. 21(2)(i) / ENISA TIG §11.3</w:t>
      </w:r>
    </w:p>
    <w:p>
      <w:pPr>
        <w:jc w:val="both"/>
      </w:pPr>
      <w:r>
        <w:t xml:space="preserve">Marque sí si utiliza una herramienta de gestión de accesos privilegiados para las sesiones remotas administrativas en los sistemas de los clientes. Ejemplos: CyberArk, BeyondTrust, Teleport. Una configuración de jump-host con registro de logs cuenta.</w:t>
      </w:r>
    </w:p>
    <w:p/>
    <w:p>
      <w:pPr>
        <w:pStyle w:val="Heading3"/>
      </w:pPr>
      <w:r>
        <w:rPr>
          <w:b/>
          <w:bCs/>
        </w:rPr>
        <w:t xml:space="preserve">Las sesiones de administración se graban</w:t>
      </w:r>
    </w:p>
    <w:p>
      <w:r>
        <w:rPr>
          <w:color w:val="666666"/>
          <w:sz w:val="18"/>
          <w:szCs w:val="18"/>
        </w:rPr>
        <w:t xml:space="preserve">[boolean]  Condicional  -  Base jurídica: NIS2 Art. 21(2)(f) / ENISA TIG §10</w:t>
      </w:r>
    </w:p>
    <w:p>
      <w:pPr>
        <w:jc w:val="both"/>
      </w:pPr>
      <w:r>
        <w:t xml:space="preserve">Marque sí si las sesiones de administración en los sistemas de los clientes se graban y se conservan para su revisión. Conservación habitual: de 90 días a 1 año. Necesaria para la reconstrucción forense tras los incidentes.</w:t>
      </w:r>
    </w:p>
    <w:p/>
    <w:p>
      <w:pPr>
        <w:pStyle w:val="Heading3"/>
      </w:pPr>
      <w:r>
        <w:rPr>
          <w:b/>
          <w:bCs/>
        </w:rPr>
        <w:t xml:space="preserve">Cobertura de guardia 24/7</w:t>
      </w:r>
    </w:p>
    <w:p>
      <w:r>
        <w:rPr>
          <w:color w:val="666666"/>
          <w:sz w:val="18"/>
          <w:szCs w:val="18"/>
        </w:rPr>
        <w:t xml:space="preserve">[boolean]  Condicional  -  Base jurídica: NIS2 Art. 21(2)(b) / ENISA TIG §3</w:t>
      </w:r>
    </w:p>
    <w:p>
      <w:pPr>
        <w:jc w:val="both"/>
      </w:pPr>
      <w:r>
        <w:t xml:space="preserve">Marque sí si dispone de una guardia 24/7 que responde a los incidentes de seguridad en los sistemas de los clientes. El soporte limitado al horario laboral no cumple el requisito.</w:t>
      </w:r>
    </w:p>
    <w:p/>
    <w:p>
      <w:r>
        <w:rPr>
          <w:color w:val="888888"/>
          <w:sz w:val="18"/>
          <w:szCs w:val="18"/>
        </w:rPr>
        <w:t xml:space="preserve">Licencia: MIT (esquema) + CC BY 4.0 (contenido). Libre para usar, bifurcar y adaptar.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para proveedores NIS 2</dc:title>
  <dc:creator>NISD2</dc:creator>
  <dc:description>Un cuestionario abierto y anclado en el derecho de la UE para la evaluación de proveedores conforme a NIS 2</dc:description>
  <cp:lastModifiedBy>Un-named</cp:lastModifiedBy>
  <cp:revision>1</cp:revision>
  <dcterms:created xsi:type="dcterms:W3CDTF">2026-06-19T20:49:37.023Z</dcterms:created>
  <dcterms:modified xsi:type="dcterms:W3CDTF">2026-06-19T20:49:37.023Z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