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</w:rPr>
        <w:t xml:space="preserve">Questionario per i fornitori NIS 2</w:t>
      </w:r>
    </w:p>
    <w:p>
      <w:r>
        <w:rPr>
          <w:i/>
          <w:iCs/>
        </w:rPr>
        <w:t xml:space="preserve">Un questionario aperto e ancorato al diritto dell'UE per la valutazione dei fornitori ai sensi di NIS 2</w:t>
      </w:r>
    </w:p>
    <w:p>
      <w:r>
        <w:rPr>
          <w:color w:val="666666"/>
          <w:sz w:val="18"/>
          <w:szCs w:val="18"/>
        </w:rPr>
        <w:t xml:space="preserve">Versione 3.1.0 - Ultimo aggiornamento 2026-05-15 - 59 campi in 6 sezioni</w:t>
      </w:r>
    </w:p>
    <w:p/>
    <w:p>
      <w:pPr>
        <w:jc w:val="both"/>
      </w:pPr>
      <w:r>
        <w:t xml:space="preserve">Ogni campo è ancorato a una fonte primaria a livello UE: NIS 2 Art. 21(2), CIR 2024/2690, ENISA Technical Implementation Guidance, GDPR Art. 28 o il Cyber Resilience Act. Le integrazioni settoriali (TISAX, VDA ISA, BSI C5, KRITIS) si aggiungono a questa base.</w:t>
      </w:r>
    </w:p>
    <w:p>
      <w:r>
        <w:rPr>
          <w:color w:val="666666"/>
          <w:sz w:val="18"/>
          <w:szCs w:val="18"/>
        </w:rPr>
        <w:t xml:space="preserve">Fonte: github.com/NISD2/nis2-supply-chain-questionnaire-schema (MIT + CC BY 4.0)</w:t>
      </w:r>
    </w:p>
    <w:p/>
    <w:p>
      <w:pPr>
        <w:pStyle w:val="Heading1"/>
      </w:pPr>
      <w:r>
        <w:rPr>
          <w:b/>
          <w:bCs/>
        </w:rPr>
        <w:t xml:space="preserve">1. Profilo del fornitore  (18 campi)</w:t>
      </w:r>
    </w:p>
    <w:p>
      <w:pPr>
        <w:pStyle w:val="Heading3"/>
      </w:pPr>
      <w:r>
        <w:rPr>
          <w:b/>
          <w:bCs/>
        </w:rPr>
        <w:t xml:space="preserve">Denominazione legale</w:t>
      </w:r>
    </w:p>
    <w:p>
      <w:r>
        <w:rPr>
          <w:color w:val="666666"/>
          <w:sz w:val="18"/>
          <w:szCs w:val="18"/>
        </w:rPr>
        <w:t xml:space="preserve">[string]  Obbligatorio  -  Base giuridica: ENISA TIG §5.2</w:t>
      </w:r>
    </w:p>
    <w:p>
      <w:pPr>
        <w:jc w:val="both"/>
      </w:pPr>
      <w:r>
        <w:t xml:space="preserve">Il nome registrato della vostra azienda, così come appare nel registro delle imprese. Esempio: Müller GmbH o Acme Software Ltd.</w:t>
      </w:r>
    </w:p>
    <w:p/>
    <w:p>
      <w:pPr>
        <w:pStyle w:val="Heading3"/>
      </w:pPr>
      <w:r>
        <w:rPr>
          <w:b/>
          <w:bCs/>
        </w:rPr>
        <w:t xml:space="preserve">Indirizzo della sede legale</w:t>
      </w:r>
    </w:p>
    <w:p>
      <w:r>
        <w:rPr>
          <w:color w:val="666666"/>
          <w:sz w:val="18"/>
          <w:szCs w:val="18"/>
        </w:rPr>
        <w:t xml:space="preserve">[string]  Obbligatorio  -  Base giuridica: ENISA TIG §5.2</w:t>
      </w:r>
    </w:p>
    <w:p>
      <w:pPr>
        <w:jc w:val="both"/>
      </w:pPr>
      <w:r>
        <w:t xml:space="preserve">L'indirizzo commerciale registrato della vostra azienda. È sufficiente un solo indirizzo, anche se avete più sedi.</w:t>
      </w:r>
    </w:p>
    <w:p/>
    <w:p>
      <w:pPr>
        <w:pStyle w:val="Heading3"/>
      </w:pPr>
      <w:r>
        <w:rPr>
          <w:b/>
          <w:bCs/>
        </w:rPr>
        <w:t xml:space="preserve">Paese</w:t>
      </w:r>
    </w:p>
    <w:p>
      <w:r>
        <w:rPr>
          <w:color w:val="666666"/>
          <w:sz w:val="18"/>
          <w:szCs w:val="18"/>
        </w:rPr>
        <w:t xml:space="preserve">[country]  Obbligatorio  -  Base giuridica: ENISA TIG §5.2</w:t>
      </w:r>
    </w:p>
    <w:p>
      <w:pPr>
        <w:jc w:val="both"/>
      </w:pPr>
      <w:r>
        <w:t xml:space="preserve">Il paese in cui la vostra azienda è legalmente stabilita. Due lettere, ad esempio DE per la Germania.</w:t>
      </w:r>
    </w:p>
    <w:p/>
    <w:p>
      <w:pPr>
        <w:pStyle w:val="Heading3"/>
      </w:pPr>
      <w:r>
        <w:rPr>
          <w:b/>
          <w:bCs/>
        </w:rPr>
        <w:t xml:space="preserve">Dominio principale</w:t>
      </w:r>
    </w:p>
    <w:p>
      <w:r>
        <w:rPr>
          <w:color w:val="666666"/>
          <w:sz w:val="18"/>
          <w:szCs w:val="18"/>
        </w:rPr>
        <w:t xml:space="preserve">[url]  Facoltativo  -  Base giuridica: ENISA TIG §5.2(b)</w:t>
      </w:r>
    </w:p>
    <w:p>
      <w:pPr>
        <w:jc w:val="both"/>
      </w:pPr>
      <w:r>
        <w:t xml:space="preserve">Il vostro dominio principale, di solito l'URL del vostro sito web. Esempio: acmesoftware.com.</w:t>
      </w:r>
    </w:p>
    <w:p/>
    <w:p>
      <w:pPr>
        <w:pStyle w:val="Heading3"/>
      </w:pPr>
      <w:r>
        <w:rPr>
          <w:b/>
          <w:bCs/>
        </w:rPr>
        <w:t xml:space="preserve">Slogan (una riga, visibile ai clienti)</w:t>
      </w:r>
    </w:p>
    <w:p>
      <w:r>
        <w:rPr>
          <w:color w:val="666666"/>
          <w:sz w:val="18"/>
          <w:szCs w:val="18"/>
        </w:rPr>
        <w:t xml:space="preserve">[string]  Facoltativo  -  Base giuridica: ENISA TIG §5.2(b)</w:t>
      </w:r>
    </w:p>
    <w:p>
      <w:pPr>
        <w:jc w:val="both"/>
      </w:pPr>
      <w:r>
        <w:t xml:space="preserve">Una riga che riassume ciò che offrite. I clienti la vedono nel vostro profilo fornitore. Esempio: ERP per la produzione delle PMI.</w:t>
      </w:r>
    </w:p>
    <w:p/>
    <w:p>
      <w:pPr>
        <w:pStyle w:val="Heading3"/>
      </w:pPr>
      <w:r>
        <w:rPr>
          <w:b/>
          <w:bCs/>
        </w:rPr>
        <w:t xml:space="preserve">Descrizione pubblica (più estesa)</w:t>
      </w:r>
    </w:p>
    <w:p>
      <w:r>
        <w:rPr>
          <w:color w:val="666666"/>
          <w:sz w:val="18"/>
          <w:szCs w:val="18"/>
        </w:rPr>
        <w:t xml:space="preserve">[text]  Facoltativo  -  Base giuridica: ENISA TIG §5.2(b)</w:t>
      </w:r>
    </w:p>
    <w:p>
      <w:pPr>
        <w:jc w:val="both"/>
      </w:pPr>
      <w:r>
        <w:t xml:space="preserve">Due o tre frasi sulla vostra azienda e su ciò che fate. Questo testo appare nel vostro profilo fornitore. Argomentazione commerciale, posizionamento di sicurezza o entrambi.</w:t>
      </w:r>
    </w:p>
    <w:p/>
    <w:p>
      <w:pPr>
        <w:pStyle w:val="Heading3"/>
      </w:pPr>
      <w:r>
        <w:rPr>
          <w:b/>
          <w:bCs/>
        </w:rPr>
        <w:t xml:space="preserve">Descrizione dei servizi forniti</w:t>
      </w:r>
    </w:p>
    <w:p>
      <w:r>
        <w:rPr>
          <w:color w:val="666666"/>
          <w:sz w:val="18"/>
          <w:szCs w:val="18"/>
        </w:rPr>
        <w:t xml:space="preserve">[text]  Obbligatorio  -  Base giuridica: ENISA TIG §5.2(b) + §5.1.4 TIPS</w:t>
      </w:r>
    </w:p>
    <w:p>
      <w:pPr>
        <w:jc w:val="both"/>
      </w:pPr>
      <w:r>
        <w:t xml:space="preserve">Un paragrafo su ciò che la vostra azienda fornisce tecnicamente ai clienti. Prodotti, moduli o servizi concreti. Evitate il linguaggio puramente di marketing.</w:t>
      </w:r>
    </w:p>
    <w:p/>
    <w:p>
      <w:pPr>
        <w:pStyle w:val="Heading3"/>
      </w:pPr>
      <w:r>
        <w:rPr>
          <w:b/>
          <w:bCs/>
        </w:rPr>
        <w:t xml:space="preserve">Paesi / regioni in cui vengono trattati i dati dei clienti</w:t>
      </w:r>
    </w:p>
    <w:p>
      <w:r>
        <w:rPr>
          <w:color w:val="666666"/>
          <w:sz w:val="18"/>
          <w:szCs w:val="18"/>
        </w:rPr>
        <w:t xml:space="preserve">[string]  Obbligatorio  -  Base giuridica: ENISA TIG §5.1.4 TIPS</w:t>
      </w:r>
    </w:p>
    <w:p>
      <w:pPr>
        <w:jc w:val="both"/>
      </w:pPr>
      <w:r>
        <w:t xml:space="preserve">Tutti i paesi in cui i dati dei vostri clienti vengono archiviati o trattati. Separati da virgole, codici paese ISO. Esempio: DE, NL, US. Se trattate interamente all'interno dell'UE, è sufficiente elencare i paesi dell'UE.</w:t>
      </w:r>
    </w:p>
    <w:p/>
    <w:p>
      <w:pPr>
        <w:pStyle w:val="Heading3"/>
      </w:pPr>
      <w:r>
        <w:rPr>
          <w:b/>
          <w:bCs/>
        </w:rPr>
        <w:t xml:space="preserve">Nome del referente per la sicurezza</w:t>
      </w:r>
    </w:p>
    <w:p>
      <w:r>
        <w:rPr>
          <w:color w:val="666666"/>
          <w:sz w:val="18"/>
          <w:szCs w:val="18"/>
        </w:rPr>
        <w:t xml:space="preserve">[string]  Obbligatorio  -  Base giuridica: CIR 2024/2690 §5.1.4(d)</w:t>
      </w:r>
    </w:p>
    <w:p>
      <w:pPr>
        <w:jc w:val="both"/>
      </w:pPr>
      <w:r>
        <w:t xml:space="preserve">La persona che i clienti contattano in caso di incidente di sicurezza. Nelle aziende più piccole spesso l'amministratore delegato o il responsabile IT. È sufficiente una sola persona.</w:t>
      </w:r>
    </w:p>
    <w:p/>
    <w:p>
      <w:pPr>
        <w:pStyle w:val="Heading3"/>
      </w:pPr>
      <w:r>
        <w:rPr>
          <w:b/>
          <w:bCs/>
        </w:rPr>
        <w:t xml:space="preserve">E-mail di contatto per gli incidenti</w:t>
      </w:r>
    </w:p>
    <w:p>
      <w:r>
        <w:rPr>
          <w:color w:val="666666"/>
          <w:sz w:val="18"/>
          <w:szCs w:val="18"/>
        </w:rPr>
        <w:t xml:space="preserve">[email]  Obbligatorio  -  Base giuridica: CIR 2024/2690 §5.1.4(d)</w:t>
      </w:r>
    </w:p>
    <w:p>
      <w:pPr>
        <w:jc w:val="both"/>
      </w:pPr>
      <w:r>
        <w:t xml:space="preserve">Indirizzo e-mail che i clienti utilizzano per segnalare un incidente di sicurezza. Idealmente una lista di distribuzione come security@example.com che raggiunge più persone.</w:t>
      </w:r>
    </w:p>
    <w:p/>
    <w:p>
      <w:pPr>
        <w:pStyle w:val="Heading3"/>
      </w:pPr>
      <w:r>
        <w:rPr>
          <w:b/>
          <w:bCs/>
        </w:rPr>
        <w:t xml:space="preserve">Telefono di contatto per gli incidenti (24/7)</w:t>
      </w:r>
    </w:p>
    <w:p>
      <w:r>
        <w:rPr>
          <w:color w:val="666666"/>
          <w:sz w:val="18"/>
          <w:szCs w:val="18"/>
        </w:rPr>
        <w:t xml:space="preserve">[phone]  Facoltativo  -  Base giuridica: CIR 2024/2690 §5.1.4(d)</w:t>
      </w:r>
    </w:p>
    <w:p>
      <w:pPr>
        <w:jc w:val="both"/>
      </w:pPr>
      <w:r>
        <w:t xml:space="preserve">Numero di telefono per le segnalazioni urgenti di incidenti. Se non disponete di reperibilità 24/7, indicate il vostro orario lavorativo tra parentesi.</w:t>
      </w:r>
    </w:p>
    <w:p/>
    <w:p>
      <w:pPr>
        <w:pStyle w:val="Heading3"/>
      </w:pPr>
      <w:r>
        <w:rPr>
          <w:b/>
          <w:bCs/>
        </w:rPr>
        <w:t xml:space="preserve">SLA di notifica degli incidenti (ore)</w:t>
      </w:r>
    </w:p>
    <w:p>
      <w:r>
        <w:rPr>
          <w:color w:val="666666"/>
          <w:sz w:val="18"/>
          <w:szCs w:val="18"/>
        </w:rPr>
        <w:t xml:space="preserve">[integer]  Facoltativo  -  Base giuridica: NIS2 Art. 23</w:t>
      </w:r>
    </w:p>
    <w:p>
      <w:pPr>
        <w:jc w:val="both"/>
      </w:pPr>
      <w:r>
        <w:t xml:space="preserve">Ore tra il rilevamento di un incidente e la notifica al cliente, al più tardi. Autovalutazione realistica, non un valore ideale. Valori comuni: 24, 48 o 72 ore.</w:t>
      </w:r>
    </w:p>
    <w:p/>
    <w:p>
      <w:pPr>
        <w:pStyle w:val="Heading3"/>
      </w:pPr>
      <w:r>
        <w:rPr>
          <w:b/>
          <w:bCs/>
        </w:rPr>
        <w:t xml:space="preserve">ID di registrazione BSI (solo se la vostra azienda è essa stessa regolamentata da NIS2)</w:t>
      </w:r>
    </w:p>
    <w:p>
      <w:r>
        <w:rPr>
          <w:color w:val="666666"/>
          <w:sz w:val="18"/>
          <w:szCs w:val="18"/>
        </w:rPr>
        <w:t xml:space="preserve">[string]  Facoltativo  -  Base giuridica: ENISA TIG §5.1.2</w:t>
      </w:r>
    </w:p>
    <w:p>
      <w:pPr>
        <w:jc w:val="both"/>
      </w:pPr>
      <w:r>
        <w:t xml:space="preserve">Se la vostra azienda è essa stessa soggetta a NIS 2 e registrata presso il BSI, inserite qui l'ID di registrazione. Facoltativo. Consente ai clienti di vedere a colpo d'occhio che soddisfate lo stesso obbligo di un'entità regolamentata.</w:t>
      </w:r>
    </w:p>
    <w:p/>
    <w:p>
      <w:pPr>
        <w:pStyle w:val="Heading3"/>
      </w:pPr>
      <w:r>
        <w:rPr>
          <w:b/>
          <w:bCs/>
        </w:rPr>
        <w:t xml:space="preserve">Forniamo servizi SaaS / in hosting</w:t>
      </w:r>
    </w:p>
    <w:p>
      <w:r>
        <w:rPr>
          <w:color w:val="666666"/>
          <w:sz w:val="18"/>
          <w:szCs w:val="18"/>
        </w:rPr>
        <w:t xml:space="preserve">[boolean]  Obbligatorio  -  Base giuridica: ENISA TIG §5.2(b)</w:t>
      </w:r>
    </w:p>
    <w:p>
      <w:pPr>
        <w:jc w:val="both"/>
      </w:pPr>
      <w:r>
        <w:t xml:space="preserve">Eseguite software per i clienti sulla vostra infrastruttura e lo erogate tramite internet. Selezionate più caselle se offrite più modelli.</w:t>
      </w:r>
    </w:p>
    <w:p/>
    <w:p>
      <w:pPr>
        <w:pStyle w:val="Heading3"/>
      </w:pPr>
      <w:r>
        <w:rPr>
          <w:b/>
          <w:bCs/>
        </w:rPr>
        <w:t xml:space="preserve">Forniamo software on-premise</w:t>
      </w:r>
    </w:p>
    <w:p>
      <w:r>
        <w:rPr>
          <w:color w:val="666666"/>
          <w:sz w:val="18"/>
          <w:szCs w:val="18"/>
        </w:rPr>
        <w:t xml:space="preserve">[boolean]  Obbligatorio  -  Base giuridica: ENISA TIG §5.2(b)</w:t>
      </w:r>
    </w:p>
    <w:p>
      <w:pPr>
        <w:jc w:val="both"/>
      </w:pPr>
      <w:r>
        <w:t xml:space="preserve">Fornite software che i clienti installano ed eseguono sulla propria infrastruttura.</w:t>
      </w:r>
    </w:p>
    <w:p/>
    <w:p>
      <w:pPr>
        <w:pStyle w:val="Heading3"/>
      </w:pPr>
      <w:r>
        <w:rPr>
          <w:b/>
          <w:bCs/>
        </w:rPr>
        <w:t xml:space="preserve">Forniamo servizi professionali / consulenza</w:t>
      </w:r>
    </w:p>
    <w:p>
      <w:r>
        <w:rPr>
          <w:color w:val="666666"/>
          <w:sz w:val="18"/>
          <w:szCs w:val="18"/>
        </w:rPr>
        <w:t xml:space="preserve">[boolean]  Obbligatorio  -  Base giuridica: ENISA TIG §5.2(b)</w:t>
      </w:r>
    </w:p>
    <w:p>
      <w:pPr>
        <w:jc w:val="both"/>
      </w:pPr>
      <w:r>
        <w:t xml:space="preserve">La vostra prestazione principale è il lavoro umano: consulenza, implementazione, formazione, audit o personalizzazione.</w:t>
      </w:r>
    </w:p>
    <w:p/>
    <w:p>
      <w:pPr>
        <w:pStyle w:val="Heading3"/>
      </w:pPr>
      <w:r>
        <w:rPr>
          <w:b/>
          <w:bCs/>
        </w:rPr>
        <w:t xml:space="preserve">Forniamo servizi gestiti / MSP</w:t>
      </w:r>
    </w:p>
    <w:p>
      <w:r>
        <w:rPr>
          <w:color w:val="666666"/>
          <w:sz w:val="18"/>
          <w:szCs w:val="18"/>
        </w:rPr>
        <w:t xml:space="preserve">[boolean]  Obbligatorio  -  Base giuridica: ENISA TIG §5.2(b)</w:t>
      </w:r>
    </w:p>
    <w:p>
      <w:pPr>
        <w:jc w:val="both"/>
      </w:pPr>
      <w:r>
        <w:t xml:space="preserve">Gestite per il cliente parti della sua infrastruttura IT, con personale proprio. Tipico dei modelli MSP e MSSP.</w:t>
      </w:r>
    </w:p>
    <w:p/>
    <w:p>
      <w:pPr>
        <w:pStyle w:val="Heading3"/>
      </w:pPr>
      <w:r>
        <w:rPr>
          <w:b/>
          <w:bCs/>
        </w:rPr>
        <w:t xml:space="preserve">Utilizziamo, integriamo o forniamo sistemi di IA</w:t>
      </w:r>
    </w:p>
    <w:p>
      <w:r>
        <w:rPr>
          <w:color w:val="666666"/>
          <w:sz w:val="18"/>
          <w:szCs w:val="18"/>
        </w:rPr>
        <w:t xml:space="preserve">[boolean]  Obbligatorio  -  Base giuridica: NIS2 Art. 21(2)(d)</w:t>
      </w:r>
    </w:p>
    <w:p>
      <w:pPr>
        <w:jc w:val="both"/>
      </w:pPr>
      <w:r>
        <w:t xml:space="preserve">I vostri prodotti o servizi trattano i dati dei clienti tramite un modello di IA o ML? Sono inclusi i modelli esterni richiamati tramite API, ad esempio OpenAI o Anthropic.</w:t>
      </w:r>
    </w:p>
    <w:p/>
    <w:p>
      <w:pPr>
        <w:pStyle w:val="Heading1"/>
      </w:pPr>
      <w:r>
        <w:rPr>
          <w:b/>
          <w:bCs/>
        </w:rPr>
        <w:t xml:space="preserve">2. Pratiche di sicurezza  (26 campi)</w:t>
      </w:r>
    </w:p>
    <w:p>
      <w:pPr>
        <w:pStyle w:val="Heading3"/>
      </w:pPr>
      <w:r>
        <w:rPr>
          <w:b/>
          <w:bCs/>
        </w:rPr>
        <w:t xml:space="preserve">Sistema di gestione della sicurezza delle informazioni documentato (ISMS)</w:t>
      </w:r>
    </w:p>
    <w:p>
      <w:r>
        <w:rPr>
          <w:color w:val="666666"/>
          <w:sz w:val="18"/>
          <w:szCs w:val="18"/>
        </w:rPr>
        <w:t xml:space="preserve">[boolean]  Obbligatorio  -  Base giuridica: CIR 2024/2690 §5.1.2(a)</w:t>
      </w:r>
    </w:p>
    <w:p>
      <w:pPr>
        <w:jc w:val="both"/>
      </w:pPr>
      <w:r>
        <w:t xml:space="preserve">Selezionare sì se si dispone di una politica scritta di sicurezza delle informazioni con ruoli assegnati, revisioni periodiche e gestione documentata degli incidenti. Una certificazione ISO 27001 o BSI Grundschutz implica sì.</w:t>
      </w:r>
    </w:p>
    <w:p/>
    <w:p>
      <w:pPr>
        <w:pStyle w:val="Heading3"/>
      </w:pPr>
      <w:r>
        <w:rPr>
          <w:b/>
          <w:bCs/>
        </w:rPr>
        <w:t xml:space="preserve">Possesso di una certificazione ISO 27001, BSI Grundschutz o equivalente</w:t>
      </w:r>
    </w:p>
    <w:p>
      <w:r>
        <w:rPr>
          <w:color w:val="666666"/>
          <w:sz w:val="18"/>
          <w:szCs w:val="18"/>
        </w:rPr>
        <w:t xml:space="preserve">[boolean]  Obbligatorio  -  Base giuridica: CIR 2024/2690 §5.1.2(b)</w:t>
      </w:r>
    </w:p>
    <w:p>
      <w:pPr>
        <w:jc w:val="both"/>
      </w:pPr>
      <w:r>
        <w:t xml:space="preserve">Selezionare sì se la vostra azienda possiede attualmente una certificazione ISO 27001, BSI Grundschutz, SOC 2 Type II o equivalente. Caricate il certificato nella scheda Certificazioni.</w:t>
      </w:r>
    </w:p>
    <w:p/>
    <w:p>
      <w:pPr>
        <w:pStyle w:val="Heading3"/>
      </w:pPr>
      <w:r>
        <w:rPr>
          <w:b/>
          <w:bCs/>
        </w:rPr>
        <w:t xml:space="preserve">Formazione annuale di sensibilizzazione alla sicurezza per tutto il personale</w:t>
      </w:r>
    </w:p>
    <w:p>
      <w:r>
        <w:rPr>
          <w:color w:val="666666"/>
          <w:sz w:val="18"/>
          <w:szCs w:val="18"/>
        </w:rPr>
        <w:t xml:space="preserve">[boolean]  Obbligatorio  -  Base giuridica: CIR 2024/2690 §5.1.4(b)</w:t>
      </w:r>
    </w:p>
    <w:p>
      <w:pPr>
        <w:jc w:val="both"/>
      </w:pPr>
      <w:r>
        <w:t xml:space="preserve">Selezionare sì se ogni dipendente riceve almeno una formazione annuale di sensibilizzazione alla sicurezza delle informazioni. L'e-learning è valido; le simulazioni di phishing si aggiungono.</w:t>
      </w:r>
    </w:p>
    <w:p/>
    <w:p>
      <w:pPr>
        <w:pStyle w:val="Heading3"/>
      </w:pPr>
      <w:r>
        <w:rPr>
          <w:b/>
          <w:bCs/>
        </w:rPr>
        <w:t xml:space="preserve">Verifiche dei precedenti per il personale con accesso ai dati dei clienti</w:t>
      </w:r>
    </w:p>
    <w:p>
      <w:r>
        <w:rPr>
          <w:color w:val="666666"/>
          <w:sz w:val="18"/>
          <w:szCs w:val="18"/>
        </w:rPr>
        <w:t xml:space="preserve">[boolean]  Obbligatorio  -  Base giuridica: CIR 2024/2690 §5.1.4(c)</w:t>
      </w:r>
    </w:p>
    <w:p>
      <w:pPr>
        <w:jc w:val="both"/>
      </w:pPr>
      <w:r>
        <w:t xml:space="preserve">Selezionare sì se si effettua una verifica dei precedenti per il personale con accesso ai dati dei clienti. Livello comune: estratto del casellario giudiziale o documento equivalente al momento dell'assunzione.</w:t>
      </w:r>
    </w:p>
    <w:p/>
    <w:p>
      <w:pPr>
        <w:pStyle w:val="Heading3"/>
      </w:pPr>
      <w:r>
        <w:rPr>
          <w:b/>
          <w:bCs/>
        </w:rPr>
        <w:t xml:space="preserve">Processo documentato di gestione delle vulnerabilità e di patching</w:t>
      </w:r>
    </w:p>
    <w:p>
      <w:r>
        <w:rPr>
          <w:color w:val="666666"/>
          <w:sz w:val="18"/>
          <w:szCs w:val="18"/>
        </w:rPr>
        <w:t xml:space="preserve">[boolean]  Obbligatorio  -  Base giuridica: CIR 2024/2690 §5.1.4(f)</w:t>
      </w:r>
    </w:p>
    <w:p>
      <w:pPr>
        <w:jc w:val="both"/>
      </w:pPr>
      <w:r>
        <w:t xml:space="preserve">Selezionare sì se si dispone di un processo scritto per la gestione delle vulnerabilità di sicurezza: rilevare, valutare, dare priorità, applicare patch o mitigare. Il monitoraggio delle CVE e il patching guidato da SLA sono lo standard.</w:t>
      </w:r>
    </w:p>
    <w:p/>
    <w:p>
      <w:pPr>
        <w:pStyle w:val="Heading3"/>
      </w:pPr>
      <w:r>
        <w:rPr>
          <w:b/>
          <w:bCs/>
        </w:rPr>
        <w:t xml:space="preserve">Accettare il diritto di audit del cliente (o fornire relazioni di audit)</w:t>
      </w:r>
    </w:p>
    <w:p>
      <w:r>
        <w:rPr>
          <w:color w:val="666666"/>
          <w:sz w:val="18"/>
          <w:szCs w:val="18"/>
        </w:rPr>
        <w:t xml:space="preserve">[boolean]  Obbligatorio  -  Base giuridica: CIR 2024/2690 §5.1.4(e)</w:t>
      </w:r>
    </w:p>
    <w:p>
      <w:pPr>
        <w:jc w:val="both"/>
      </w:pPr>
      <w:r>
        <w:t xml:space="preserve">Selezionare sì se si concede ai clienti un diritto di audit in loco oppure si forniscono relazioni di audit sostitutive (ad esempio SOC 2, ISAE 3402).</w:t>
      </w:r>
    </w:p>
    <w:p/>
    <w:p>
      <w:pPr>
        <w:pStyle w:val="Heading3"/>
      </w:pPr>
      <w:r>
        <w:rPr>
          <w:b/>
          <w:bCs/>
        </w:rPr>
        <w:t xml:space="preserve">Ricorso a subincaricati / subfornitori</w:t>
      </w:r>
    </w:p>
    <w:p>
      <w:r>
        <w:rPr>
          <w:color w:val="666666"/>
          <w:sz w:val="18"/>
          <w:szCs w:val="18"/>
        </w:rPr>
        <w:t xml:space="preserve">[boolean]  Obbligatorio  -  Base giuridica: CIR 2024/2690 §5.1.4(g)</w:t>
      </w:r>
    </w:p>
    <w:p>
      <w:pPr>
        <w:jc w:val="both"/>
      </w:pPr>
      <w:r>
        <w:t xml:space="preserve">Selezionare sì se per erogare il servizio si ricorre ad altre aziende che hanno accesso ai dati o all'infrastruttura dei clienti. Esempi tipici: AWS, Azure, Cloudflare, Stripe.</w:t>
      </w:r>
    </w:p>
    <w:p/>
    <w:p>
      <w:pPr>
        <w:pStyle w:val="Heading3"/>
      </w:pPr>
      <w:r>
        <w:rPr>
          <w:b/>
          <w:bCs/>
        </w:rPr>
        <w:t xml:space="preserve">Elenco dei subincaricati</w:t>
      </w:r>
    </w:p>
    <w:p>
      <w:r>
        <w:rPr>
          <w:color w:val="666666"/>
          <w:sz w:val="18"/>
          <w:szCs w:val="18"/>
        </w:rPr>
        <w:t xml:space="preserve">[text]  Condizionale  -  Base giuridica: CIR 2024/2690 §5.1.4(g)</w:t>
      </w:r>
    </w:p>
    <w:p>
      <w:pPr>
        <w:jc w:val="both"/>
      </w:pPr>
      <w:r>
        <w:t xml:space="preserve">Elencare ogni subincaricato con nome, luogo di trattamento e attività svolta per voi. È sufficiente una tabella o un elenco puntato. Aggiornatela ogni volta che ne aggiungete o rimuovete uno.</w:t>
      </w:r>
    </w:p>
    <w:p/>
    <w:p>
      <w:pPr>
        <w:pStyle w:val="Heading3"/>
      </w:pPr>
      <w:r>
        <w:rPr>
          <w:b/>
          <w:bCs/>
        </w:rPr>
        <w:t xml:space="preserve">Impegno a restituire / distruggere i dati dei clienti alla cessazione</w:t>
      </w:r>
    </w:p>
    <w:p>
      <w:r>
        <w:rPr>
          <w:color w:val="666666"/>
          <w:sz w:val="18"/>
          <w:szCs w:val="18"/>
        </w:rPr>
        <w:t xml:space="preserve">[boolean]  Obbligatorio  -  Base giuridica: CIR 2024/2690 §5.1.4(h)</w:t>
      </w:r>
    </w:p>
    <w:p>
      <w:pPr>
        <w:jc w:val="both"/>
      </w:pPr>
      <w:r>
        <w:t xml:space="preserve">Selezionare sì se ci si impegna contrattualmente a restituire o distruggere i dati dei clienti al termine del contratto. Prassi comune: export e restituzione, quindi cancellazione entro 30 giorni.</w:t>
      </w:r>
    </w:p>
    <w:p/>
    <w:p>
      <w:pPr>
        <w:pStyle w:val="Heading3"/>
      </w:pPr>
      <w:r>
        <w:rPr>
          <w:b/>
          <w:bCs/>
        </w:rPr>
        <w:t xml:space="preserve">Accordo standard sul trattamento dei dati (DPA) disponibile</w:t>
      </w:r>
    </w:p>
    <w:p>
      <w:r>
        <w:rPr>
          <w:color w:val="666666"/>
          <w:sz w:val="18"/>
          <w:szCs w:val="18"/>
        </w:rPr>
        <w:t xml:space="preserve">[boolean]  Obbligatorio  -  Base giuridica: GDPR Art. 28</w:t>
      </w:r>
    </w:p>
    <w:p>
      <w:pPr>
        <w:jc w:val="both"/>
      </w:pPr>
      <w:r>
        <w:t xml:space="preserve">Selezionare sì se si dispone di un accordo standard sul trattamento dei dati ai sensi dell'articolo 28 del GDPR che i clienti possono firmare. Richiesto non appena si trattano dati personali.</w:t>
      </w:r>
    </w:p>
    <w:p/>
    <w:p>
      <w:pPr>
        <w:pStyle w:val="Heading3"/>
      </w:pPr>
      <w:r>
        <w:rPr>
          <w:b/>
          <w:bCs/>
        </w:rPr>
        <w:t xml:space="preserve">Politiche di sicurezza riviste almeno annualmente</w:t>
      </w:r>
    </w:p>
    <w:p>
      <w:r>
        <w:rPr>
          <w:color w:val="666666"/>
          <w:sz w:val="18"/>
          <w:szCs w:val="18"/>
        </w:rPr>
        <w:t xml:space="preserve">[boolean]  Obbligatorio  -  Base giuridica: NIS2 Art. 21(2)(a) / ENISA TIG §1.1</w:t>
      </w:r>
    </w:p>
    <w:p>
      <w:pPr>
        <w:jc w:val="both"/>
      </w:pPr>
      <w:r>
        <w:t xml:space="preserve">Selezionare sì se le vostre politiche di sicurezza vengono riviste almeno una volta all'anno e aggiornate secondo necessità. Una nota scritta nel documento è una prova sufficiente.</w:t>
      </w:r>
    </w:p>
    <w:p/>
    <w:p>
      <w:pPr>
        <w:pStyle w:val="Heading3"/>
      </w:pPr>
      <w:r>
        <w:rPr>
          <w:b/>
          <w:bCs/>
        </w:rPr>
        <w:t xml:space="preserve">Piano di risposta agli incidenti documentato</w:t>
      </w:r>
    </w:p>
    <w:p>
      <w:r>
        <w:rPr>
          <w:color w:val="666666"/>
          <w:sz w:val="18"/>
          <w:szCs w:val="18"/>
        </w:rPr>
        <w:t xml:space="preserve">[boolean]  Obbligatorio  -  Base giuridica: NIS2 Art. 21(2)(b) / ENISA TIG §3</w:t>
      </w:r>
    </w:p>
    <w:p>
      <w:pPr>
        <w:jc w:val="both"/>
      </w:pPr>
      <w:r>
        <w:t xml:space="preserve">Selezionare sì se si dispone di un piano scritto per la gestione degli incidenti di sicurezza: chi decide, chi comunica, chi documenta. Almeno un'esercitazione tabletop all'anno è una buona prassi.</w:t>
      </w:r>
    </w:p>
    <w:p/>
    <w:p>
      <w:pPr>
        <w:pStyle w:val="Heading3"/>
      </w:pPr>
      <w:r>
        <w:rPr>
          <w:b/>
          <w:bCs/>
        </w:rPr>
        <w:t xml:space="preserve">Piano di continuità operativa / ripristino di emergenza documentato</w:t>
      </w:r>
    </w:p>
    <w:p>
      <w:r>
        <w:rPr>
          <w:color w:val="666666"/>
          <w:sz w:val="18"/>
          <w:szCs w:val="18"/>
        </w:rPr>
        <w:t xml:space="preserve">[boolean]  Obbligatorio  -  Base giuridica: NIS2 Art. 21(2)(c) / ENISA TIG §4</w:t>
      </w:r>
    </w:p>
    <w:p>
      <w:pPr>
        <w:jc w:val="both"/>
      </w:pPr>
      <w:r>
        <w:t xml:space="preserve">Selezionare sì se si dispone di un piano che spiega come mantenere l'operatività o ripristinare rapidamente durante un'interruzione: sistemi critici, soluzioni di ripiego, obiettivi RTO e RPO.</w:t>
      </w:r>
    </w:p>
    <w:p/>
    <w:p>
      <w:pPr>
        <w:pStyle w:val="Heading3"/>
      </w:pPr>
      <w:r>
        <w:rPr>
          <w:b/>
          <w:bCs/>
        </w:rPr>
        <w:t xml:space="preserve">Politica di crittografia documentata</w:t>
      </w:r>
    </w:p>
    <w:p>
      <w:r>
        <w:rPr>
          <w:color w:val="666666"/>
          <w:sz w:val="18"/>
          <w:szCs w:val="18"/>
        </w:rPr>
        <w:t xml:space="preserve">[boolean]  Obbligatorio  -  Base giuridica: NIS2 Art. 21(2)(h) / ENISA TIG §9</w:t>
      </w:r>
    </w:p>
    <w:p>
      <w:pPr>
        <w:jc w:val="both"/>
      </w:pPr>
      <w:r>
        <w:t xml:space="preserve">Selezionare sì se avete messo per iscritto quale crittografia utilizzate e dove: dati in transito (TLS 1.2+), dati a riposo (AES-256), gestione delle chiavi, algoritmi di hashing.</w:t>
      </w:r>
    </w:p>
    <w:p/>
    <w:p>
      <w:pPr>
        <w:pStyle w:val="Heading3"/>
      </w:pPr>
      <w:r>
        <w:rPr>
          <w:b/>
          <w:bCs/>
        </w:rPr>
        <w:t xml:space="preserve">Gestione degli accessi privilegiati (PAM) per il personale interno</w:t>
      </w:r>
    </w:p>
    <w:p>
      <w:r>
        <w:rPr>
          <w:color w:val="666666"/>
          <w:sz w:val="18"/>
          <w:szCs w:val="18"/>
        </w:rPr>
        <w:t xml:space="preserve">[boolean]  Obbligatorio  -  Base giuridica: NIS2 Art. 21(2)(i) / ENISA TIG §11.3</w:t>
      </w:r>
    </w:p>
    <w:p>
      <w:pPr>
        <w:jc w:val="both"/>
      </w:pPr>
      <w:r>
        <w:t xml:space="preserve">Selezionare sì se gli amministratori e gli account privilegiati dispongono di controlli aggiuntivi: accesso separato, MFA, registrazione delle sessioni o accesso just-in-time.</w:t>
      </w:r>
    </w:p>
    <w:p/>
    <w:p>
      <w:pPr>
        <w:pStyle w:val="Heading3"/>
      </w:pPr>
      <w:r>
        <w:rPr>
          <w:b/>
          <w:bCs/>
        </w:rPr>
        <w:t xml:space="preserve">MFA imposto per tutti gli account amministrativi / privilegiati interni</w:t>
      </w:r>
    </w:p>
    <w:p>
      <w:r>
        <w:rPr>
          <w:color w:val="666666"/>
          <w:sz w:val="18"/>
          <w:szCs w:val="18"/>
        </w:rPr>
        <w:t xml:space="preserve">[boolean]  Obbligatorio  -  Base giuridica: NIS2 Art. 21(2)(j)</w:t>
      </w:r>
    </w:p>
    <w:p>
      <w:pPr>
        <w:jc w:val="both"/>
      </w:pPr>
      <w:r>
        <w:t xml:space="preserve">Selezionare sì se ogni account amministrativo o privilegiato interno deve utilizzare l'MFA. I token hardware o le app di autenticazione sono validi; gli SMS no.</w:t>
      </w:r>
    </w:p>
    <w:p/>
    <w:p>
      <w:pPr>
        <w:pStyle w:val="Heading3"/>
      </w:pPr>
      <w:r>
        <w:rPr>
          <w:b/>
          <w:bCs/>
        </w:rPr>
        <w:t xml:space="preserve">Mantenere un inventario degli asset informativi</w:t>
      </w:r>
    </w:p>
    <w:p>
      <w:r>
        <w:rPr>
          <w:color w:val="666666"/>
          <w:sz w:val="18"/>
          <w:szCs w:val="18"/>
        </w:rPr>
        <w:t xml:space="preserve">[boolean]  Obbligatorio  -  Base giuridica: NIS2 Art. 21(2)(i) / ENISA TIG §12.4</w:t>
      </w:r>
    </w:p>
    <w:p>
      <w:pPr>
        <w:jc w:val="both"/>
      </w:pPr>
      <w:r>
        <w:t xml:space="preserve">Selezionare sì se si mantiene un elenco aggiornato di ogni sistema informativo utilizzato per erogare il servizio: server, database, strumenti SaaS, endpoint. È sufficiente un foglio di calcolo.</w:t>
      </w:r>
    </w:p>
    <w:p/>
    <w:p>
      <w:pPr>
        <w:pStyle w:val="Heading3"/>
      </w:pPr>
      <w:r>
        <w:rPr>
          <w:b/>
          <w:bCs/>
        </w:rPr>
        <w:t xml:space="preserve">Programma di penetration test annuale o biennale</w:t>
      </w:r>
    </w:p>
    <w:p>
      <w:r>
        <w:rPr>
          <w:color w:val="666666"/>
          <w:sz w:val="18"/>
          <w:szCs w:val="18"/>
        </w:rPr>
        <w:t xml:space="preserve">[boolean]  Obbligatorio  -  Base giuridica: NIS2 Art. 21(2)(e) / ENISA TIG §6.5</w:t>
      </w:r>
    </w:p>
    <w:p>
      <w:pPr>
        <w:jc w:val="both"/>
      </w:pPr>
      <w:r>
        <w:t xml:space="preserve">Selezionare sì se si commissiona un penetration test esterno almeno ogni uno o due anni. Per le aziende più piccole, una scansione esterna delle vulnerabilità come passo minimo è accettabile.</w:t>
      </w:r>
    </w:p>
    <w:p/>
    <w:p>
      <w:pPr>
        <w:pStyle w:val="Heading3"/>
      </w:pPr>
      <w:r>
        <w:rPr>
          <w:b/>
          <w:bCs/>
        </w:rPr>
        <w:t xml:space="preserve">Divulghiamo gli eventi di cibersicurezza notificabili passati su richiesta dei clienti</w:t>
      </w:r>
    </w:p>
    <w:p>
      <w:r>
        <w:rPr>
          <w:color w:val="666666"/>
          <w:sz w:val="18"/>
          <w:szCs w:val="18"/>
        </w:rPr>
        <w:t xml:space="preserve">[boolean]  Obbligatorio  -  Base giuridica: ENISA TIG §5.1.2</w:t>
      </w:r>
    </w:p>
    <w:p>
      <w:pPr>
        <w:jc w:val="both"/>
      </w:pPr>
      <w:r>
        <w:t xml:space="preserve">Selezionare sì se, su richiesta del cliente, divulgate apertamente se e quali incidenti di sicurezza notificabili la vostra azienda ha avuto in passato. Finestra comune: gli ultimi tre-cinque anni.</w:t>
      </w:r>
    </w:p>
    <w:p/>
    <w:p>
      <w:pPr>
        <w:pStyle w:val="Heading3"/>
      </w:pPr>
      <w:r>
        <w:rPr>
          <w:b/>
          <w:bCs/>
        </w:rPr>
        <w:t xml:space="preserve">Fornire assistenza ai clienti in caso di incidente senza costi / a costo predefinito</w:t>
      </w:r>
    </w:p>
    <w:p>
      <w:r>
        <w:rPr>
          <w:color w:val="666666"/>
          <w:sz w:val="18"/>
          <w:szCs w:val="18"/>
        </w:rPr>
        <w:t xml:space="preserve">[boolean]  Obbligatorio  -  Base giuridica: ENISA TIG §5.1.4 TIPS</w:t>
      </w:r>
    </w:p>
    <w:p>
      <w:pPr>
        <w:jc w:val="both"/>
      </w:pPr>
      <w:r>
        <w:t xml:space="preserve">Selezionare sì se ci si impegna ad assistere i clienti senza costi aggiuntivi quando un incidente è causato dal proprio prodotto o servizio. Se invece si concorda in anticipo una tariffa giornaliera predefinita, selezionare comunque sì.</w:t>
      </w:r>
    </w:p>
    <w:p/>
    <w:p>
      <w:pPr>
        <w:pStyle w:val="Heading3"/>
      </w:pPr>
      <w:r>
        <w:rPr>
          <w:b/>
          <w:bCs/>
        </w:rPr>
        <w:t xml:space="preserve">Cooperare pienamente con le autorità competenti (BSI, ENISA, CSIRT nazionali)</w:t>
      </w:r>
    </w:p>
    <w:p>
      <w:r>
        <w:rPr>
          <w:color w:val="666666"/>
          <w:sz w:val="18"/>
          <w:szCs w:val="18"/>
        </w:rPr>
        <w:t xml:space="preserve">[boolean]  Obbligatorio  -  Base giuridica: ENISA TIG §5.1.4 TIPS</w:t>
      </w:r>
    </w:p>
    <w:p>
      <w:pPr>
        <w:jc w:val="both"/>
      </w:pPr>
      <w:r>
        <w:t xml:space="preserve">Selezionare sì se ci si impegna a cooperare pienamente con le autorità competenti come BSI, ENISA o i CSIRT nazionali durante le ispezioni, gli audit e la gestione degli incidenti. Standard per i fornitori seri.</w:t>
      </w:r>
    </w:p>
    <w:p/>
    <w:p>
      <w:pPr>
        <w:pStyle w:val="Heading3"/>
      </w:pPr>
      <w:r>
        <w:rPr>
          <w:b/>
          <w:bCs/>
        </w:rPr>
        <w:t xml:space="preserve">Notificare ai clienti qualsiasi modifica sostanziale che incida sull'erogazione del servizio</w:t>
      </w:r>
    </w:p>
    <w:p>
      <w:r>
        <w:rPr>
          <w:color w:val="666666"/>
          <w:sz w:val="18"/>
          <w:szCs w:val="18"/>
        </w:rPr>
        <w:t xml:space="preserve">[boolean]  Obbligatorio  -  Base giuridica: ENISA TIG §5.1.4 TIPS</w:t>
      </w:r>
    </w:p>
    <w:p>
      <w:pPr>
        <w:jc w:val="both"/>
      </w:pPr>
      <w:r>
        <w:t xml:space="preserve">Selezionare sì se ci si impegna a notificare ai clienti qualsiasi modifica sostanziale che incida sulla capacità di erogare il servizio: acquisizioni, cambi di subincaricato, importanti cambiamenti tecnici.</w:t>
      </w:r>
    </w:p>
    <w:p/>
    <w:p>
      <w:pPr>
        <w:pStyle w:val="Heading3"/>
      </w:pPr>
      <w:r>
        <w:rPr>
          <w:b/>
          <w:bCs/>
        </w:rPr>
        <w:t xml:space="preserve">Notificare ai clienti in anticipo in caso di cambiamento dei luoghi di trattamento dei dati</w:t>
      </w:r>
    </w:p>
    <w:p>
      <w:r>
        <w:rPr>
          <w:color w:val="666666"/>
          <w:sz w:val="18"/>
          <w:szCs w:val="18"/>
        </w:rPr>
        <w:t xml:space="preserve">[boolean]  Obbligatorio  -  Base giuridica: ENISA TIG §5.1.4 TIPS</w:t>
      </w:r>
    </w:p>
    <w:p>
      <w:pPr>
        <w:jc w:val="both"/>
      </w:pPr>
      <w:r>
        <w:t xml:space="preserve">Selezionare sì se si informano i clienti in anticipo prima che cambi il luogo di trattamento dei loro dati. Importante per la protezione dei dati e per una supervisione della catena di approvvigionamento conforme al GDPR.</w:t>
      </w:r>
    </w:p>
    <w:p/>
    <w:p>
      <w:pPr>
        <w:pStyle w:val="Heading3"/>
      </w:pPr>
      <w:r>
        <w:rPr>
          <w:b/>
          <w:bCs/>
        </w:rPr>
        <w:t xml:space="preserve">Strategia di uscita documentata con periodo di transizione obbligatorio</w:t>
      </w:r>
    </w:p>
    <w:p>
      <w:r>
        <w:rPr>
          <w:color w:val="666666"/>
          <w:sz w:val="18"/>
          <w:szCs w:val="18"/>
        </w:rPr>
        <w:t xml:space="preserve">[boolean]  Obbligatorio  -  Base giuridica: ENISA TIG §5.1.4 TIPS</w:t>
      </w:r>
    </w:p>
    <w:p>
      <w:pPr>
        <w:jc w:val="both"/>
      </w:pPr>
      <w:r>
        <w:t xml:space="preserve">Selezionare sì se si dispone di una strategia di uscita scritta: quanto dura un passaggio di consegne ordinato, quali dati e conoscenze vengono trasferiti, a cosa ci si impegna durante la transizione.</w:t>
      </w:r>
    </w:p>
    <w:p/>
    <w:p>
      <w:pPr>
        <w:pStyle w:val="Heading3"/>
      </w:pPr>
      <w:r>
        <w:rPr>
          <w:b/>
          <w:bCs/>
        </w:rPr>
        <w:t xml:space="preserve">Fornire un SBOM-for-AI secondo gli elementi minimi del G7</w:t>
      </w:r>
    </w:p>
    <w:p>
      <w:r>
        <w:rPr>
          <w:color w:val="666666"/>
          <w:sz w:val="18"/>
          <w:szCs w:val="18"/>
        </w:rPr>
        <w:t xml:space="preserve">[boolean]  Condizionale  -  Base giuridica: NIS2 Art. 21(2)(d) / ENISA TIG §5.1.2</w:t>
      </w:r>
    </w:p>
    <w:p>
      <w:pPr>
        <w:jc w:val="both"/>
      </w:pPr>
      <w:r>
        <w:t xml:space="preserve">Facoltativo. Selezionare sì se è possibile fornire un SBOM-for-AI secondo gli elementi minimi del G7 (maggio 2026). Documenta metadati, modelli, dati di addestramento, infrastruttura, proprietà di sicurezza, KPI e comportamento del sistema. Standard volontario.</w:t>
      </w:r>
    </w:p>
    <w:p/>
    <w:p>
      <w:pPr>
        <w:pStyle w:val="Heading3"/>
      </w:pPr>
      <w:r>
        <w:rPr>
          <w:b/>
          <w:bCs/>
        </w:rPr>
        <w:t xml:space="preserve">URL del documento SBOM-for-AI</w:t>
      </w:r>
    </w:p>
    <w:p>
      <w:r>
        <w:rPr>
          <w:color w:val="666666"/>
          <w:sz w:val="18"/>
          <w:szCs w:val="18"/>
        </w:rPr>
        <w:t xml:space="preserve">[url]  Condizionale  -  Base giuridica: NIS2 Art. 21(2)(d) / ENISA TIG §5.1.2</w:t>
      </w:r>
    </w:p>
    <w:p>
      <w:pPr>
        <w:jc w:val="both"/>
      </w:pPr>
      <w:r>
        <w:t xml:space="preserve">URL pubblico o condiviso del vostro documento SBOM-for-AI. Può essere un PDF, un file JSON o una pagina di progetto.</w:t>
      </w:r>
    </w:p>
    <w:p/>
    <w:p>
      <w:pPr>
        <w:pStyle w:val="Heading1"/>
      </w:pPr>
      <w:r>
        <w:rPr>
          <w:b/>
          <w:bCs/>
        </w:rPr>
        <w:t xml:space="preserve">3. Specifico per SaaS  (5 campi)</w:t>
      </w:r>
    </w:p>
    <w:p>
      <w:pPr>
        <w:pStyle w:val="Heading3"/>
      </w:pPr>
      <w:r>
        <w:rPr>
          <w:b/>
          <w:bCs/>
        </w:rPr>
        <w:t xml:space="preserve">Regione di hosting</w:t>
      </w:r>
    </w:p>
    <w:p>
      <w:r>
        <w:rPr>
          <w:color w:val="666666"/>
          <w:sz w:val="18"/>
          <w:szCs w:val="18"/>
        </w:rPr>
        <w:t xml:space="preserve">[string]  Condizionale  -  Base giuridica: ENISA TIG §5.2</w:t>
      </w:r>
    </w:p>
    <w:p>
      <w:pPr>
        <w:jc w:val="both"/>
      </w:pPr>
      <w:r>
        <w:t xml:space="preserve">La regione cloud in cui sono ospitati i dati dei clienti. Esempio: AWS eu-central-1, Azure West Europe. Indicare la regione principale; le regioni secondarie o di backup possono essere aggiunte separate da virgole.</w:t>
      </w:r>
    </w:p>
    <w:p/>
    <w:p>
      <w:pPr>
        <w:pStyle w:val="Heading3"/>
      </w:pPr>
      <w:r>
        <w:rPr>
          <w:b/>
          <w:bCs/>
        </w:rPr>
        <w:t xml:space="preserve">Cifratura dei dati a riposo</w:t>
      </w:r>
    </w:p>
    <w:p>
      <w:r>
        <w:rPr>
          <w:color w:val="666666"/>
          <w:sz w:val="18"/>
          <w:szCs w:val="18"/>
        </w:rPr>
        <w:t xml:space="preserve">[boolean]  Condizionale  -  Base giuridica: NIS2 Art. 21(2)(h) / ENISA TIG §9</w:t>
      </w:r>
    </w:p>
    <w:p>
      <w:pPr>
        <w:jc w:val="both"/>
      </w:pPr>
      <w:r>
        <w:t xml:space="preserve">Selezionare sì se i dati dei clienti su disco sono cifrati a riposo con AES-256 o equivalente. È valida la cifratura del disco gestita dal cloud (AWS EBS, Azure Disk Encryption).</w:t>
      </w:r>
    </w:p>
    <w:p/>
    <w:p>
      <w:pPr>
        <w:pStyle w:val="Heading3"/>
      </w:pPr>
      <w:r>
        <w:rPr>
          <w:b/>
          <w:bCs/>
        </w:rPr>
        <w:t xml:space="preserve">Cifratura in transito (TLS ≥ 1.2)</w:t>
      </w:r>
    </w:p>
    <w:p>
      <w:r>
        <w:rPr>
          <w:color w:val="666666"/>
          <w:sz w:val="18"/>
          <w:szCs w:val="18"/>
        </w:rPr>
        <w:t xml:space="preserve">[boolean]  Condizionale  -  Base giuridica: NIS2 Art. 21(2)(h) / ENISA TIG §9</w:t>
      </w:r>
    </w:p>
    <w:p>
      <w:pPr>
        <w:jc w:val="both"/>
      </w:pPr>
      <w:r>
        <w:t xml:space="preserve">Selezionare sì se tutti gli endpoint rivolti ai clienti impongono TLS 1.2 o superiore. TLS 1.3 è da preferire. Il semplice HTTP deve reindirizzare a HTTPS.</w:t>
      </w:r>
    </w:p>
    <w:p/>
    <w:p>
      <w:pPr>
        <w:pStyle w:val="Heading3"/>
      </w:pPr>
      <w:r>
        <w:rPr>
          <w:b/>
          <w:bCs/>
        </w:rPr>
        <w:t xml:space="preserve">MFA imposto per tutti gli account amministrativi</w:t>
      </w:r>
    </w:p>
    <w:p>
      <w:r>
        <w:rPr>
          <w:color w:val="666666"/>
          <w:sz w:val="18"/>
          <w:szCs w:val="18"/>
        </w:rPr>
        <w:t xml:space="preserve">[boolean]  Condizionale  -  Base giuridica: NIS2 Art. 21(2)(j) / ENISA TIG §11.3</w:t>
      </w:r>
    </w:p>
    <w:p>
      <w:pPr>
        <w:jc w:val="both"/>
      </w:pPr>
      <w:r>
        <w:t xml:space="preserve">Selezionare sì se ogni account amministrativo interno sulla piattaforma SaaS deve utilizzare l'MFA. Stesso standard della vostra policy amministrativa interna.</w:t>
      </w:r>
    </w:p>
    <w:p/>
    <w:p>
      <w:pPr>
        <w:pStyle w:val="Heading3"/>
      </w:pPr>
      <w:r>
        <w:rPr>
          <w:b/>
          <w:bCs/>
        </w:rPr>
        <w:t xml:space="preserve">Obiettivo del tempo di ripristino (RTO) in ore</w:t>
      </w:r>
    </w:p>
    <w:p>
      <w:r>
        <w:rPr>
          <w:color w:val="666666"/>
          <w:sz w:val="18"/>
          <w:szCs w:val="18"/>
        </w:rPr>
        <w:t xml:space="preserve">[integer]  Condizionale  -  Base giuridica: NIS2 Art. 21(2)(c) / ENISA TIG §4</w:t>
      </w:r>
    </w:p>
    <w:p>
      <w:pPr>
        <w:jc w:val="both"/>
      </w:pPr>
      <w:r>
        <w:t xml:space="preserve">Numero massimo di ore in cui il servizio può essere non disponibile prima del ripristino. Valore SLA realistico, non un valore ideale. Valori SaaS comuni: 4, 8 o 24 ore.</w:t>
      </w:r>
    </w:p>
    <w:p/>
    <w:p>
      <w:pPr>
        <w:pStyle w:val="Heading1"/>
      </w:pPr>
      <w:r>
        <w:rPr>
          <w:b/>
          <w:bCs/>
        </w:rPr>
        <w:t xml:space="preserve">4. Specifico per On-Premise  (4 campi)</w:t>
      </w:r>
    </w:p>
    <w:p>
      <w:pPr>
        <w:pStyle w:val="Heading3"/>
      </w:pPr>
      <w:r>
        <w:rPr>
          <w:b/>
          <w:bCs/>
        </w:rPr>
        <w:t xml:space="preserve">Fornire una distinta base del software (SBOM)</w:t>
      </w:r>
    </w:p>
    <w:p>
      <w:r>
        <w:rPr>
          <w:color w:val="666666"/>
          <w:sz w:val="18"/>
          <w:szCs w:val="18"/>
        </w:rPr>
        <w:t xml:space="preserve">[boolean]  Condizionale  -  Base giuridica: CRA / NIS2 Art. 21(2)(d)</w:t>
      </w:r>
    </w:p>
    <w:p>
      <w:pPr>
        <w:jc w:val="both"/>
      </w:pPr>
      <w:r>
        <w:t xml:space="preserve">Selezionare sì se si fornisce una distinta base del software (SBOM) con ogni release. CycloneDX o SPDX sono i formati standard. Obbligatorio ai sensi del Cyber Resilience Act per i prodotti immessi sul mercato dell'UE a partire da dicembre 2027.</w:t>
      </w:r>
    </w:p>
    <w:p/>
    <w:p>
      <w:pPr>
        <w:pStyle w:val="Heading3"/>
      </w:pPr>
      <w:r>
        <w:rPr>
          <w:b/>
          <w:bCs/>
        </w:rPr>
        <w:t xml:space="preserve">Le release sono firmate crittograficamente</w:t>
      </w:r>
    </w:p>
    <w:p>
      <w:r>
        <w:rPr>
          <w:color w:val="666666"/>
          <w:sz w:val="18"/>
          <w:szCs w:val="18"/>
        </w:rPr>
        <w:t xml:space="preserve">[boolean]  Condizionale  -  Base giuridica: NIS2 Art. 21(2)(e) / ENISA TIG §6.5</w:t>
      </w:r>
    </w:p>
    <w:p>
      <w:pPr>
        <w:jc w:val="both"/>
      </w:pPr>
      <w:r>
        <w:t xml:space="preserve">Selezionare sì se ogni artefatto di release reca una firma crittografica verificabile dai clienti. Le chiavi di firma sono documentate e soggette a rotazione. Sono valide sia le firme Sigstore sia quelle PGP.</w:t>
      </w:r>
    </w:p>
    <w:p/>
    <w:p>
      <w:pPr>
        <w:pStyle w:val="Heading3"/>
      </w:pPr>
      <w:r>
        <w:rPr>
          <w:b/>
          <w:bCs/>
        </w:rPr>
        <w:t xml:space="preserve">Politica di divulgazione delle vulnerabilità pubblicata</w:t>
      </w:r>
    </w:p>
    <w:p>
      <w:r>
        <w:rPr>
          <w:color w:val="666666"/>
          <w:sz w:val="18"/>
          <w:szCs w:val="18"/>
        </w:rPr>
        <w:t xml:space="preserve">[boolean]  Condizionale  -  Base giuridica: NIS2 Art. 21(2)(e) / ENISA TIG §3</w:t>
      </w:r>
    </w:p>
    <w:p>
      <w:pPr>
        <w:jc w:val="both"/>
      </w:pPr>
      <w:r>
        <w:t xml:space="preserve">Selezionare sì se si dispone di una modalità documentata pubblicamente per segnalare le vulnerabilità di sicurezza. È sufficiente un file security.txt sul proprio dominio (secondo RFC 9116) o un indirizzo e-mail dedicato come security@example.com.</w:t>
      </w:r>
    </w:p>
    <w:p/>
    <w:p>
      <w:pPr>
        <w:pStyle w:val="Heading3"/>
      </w:pPr>
      <w:r>
        <w:rPr>
          <w:b/>
          <w:bCs/>
        </w:rPr>
        <w:t xml:space="preserve">SLA delle patch per CVE critiche (ore)</w:t>
      </w:r>
    </w:p>
    <w:p>
      <w:r>
        <w:rPr>
          <w:color w:val="666666"/>
          <w:sz w:val="18"/>
          <w:szCs w:val="18"/>
        </w:rPr>
        <w:t xml:space="preserve">[integer]  Condizionale  -  Base giuridica: CIR 2024/2690 §5.1.4(f)</w:t>
      </w:r>
    </w:p>
    <w:p>
      <w:pPr>
        <w:jc w:val="both"/>
      </w:pPr>
      <w:r>
        <w:t xml:space="preserve">Ore tra la divulgazione pubblica di una CVE e una release con patch per le vulnerabilità critiche (CVSS 9.0+). Impegno realistico, non un valore ideale. Valori comuni: 24, 48 o 72 ore.</w:t>
      </w:r>
    </w:p>
    <w:p/>
    <w:p>
      <w:pPr>
        <w:pStyle w:val="Heading1"/>
      </w:pPr>
      <w:r>
        <w:rPr>
          <w:b/>
          <w:bCs/>
        </w:rPr>
        <w:t xml:space="preserve">5. Professional Services  (3 campi)</w:t>
      </w:r>
    </w:p>
    <w:p>
      <w:pPr>
        <w:pStyle w:val="Heading3"/>
      </w:pPr>
      <w:r>
        <w:rPr>
          <w:b/>
          <w:bCs/>
        </w:rPr>
        <w:t xml:space="preserve">Ambito delle verifiche dei precedenti</w:t>
      </w:r>
    </w:p>
    <w:p>
      <w:r>
        <w:rPr>
          <w:color w:val="666666"/>
          <w:sz w:val="18"/>
          <w:szCs w:val="18"/>
        </w:rPr>
        <w:t xml:space="preserve">[string]  Condizionale  -  Base giuridica: NIS2 Art. 21(2)(i) / CIR 2024/2690 §5.1.4(c)</w:t>
      </w:r>
    </w:p>
    <w:p>
      <w:pPr>
        <w:jc w:val="both"/>
      </w:pPr>
      <w:r>
        <w:t xml:space="preserve">Descrivere come vengono valutati i consulenti per i ruoli sensibili. Esempio: estratto del casellario giudiziale per tutti i consulenti, oltre a verifiche delle referenze per gli incarichi che coinvolgono dati classificati.</w:t>
      </w:r>
    </w:p>
    <w:p/>
    <w:p>
      <w:pPr>
        <w:pStyle w:val="Heading3"/>
      </w:pPr>
      <w:r>
        <w:rPr>
          <w:b/>
          <w:bCs/>
        </w:rPr>
        <w:t xml:space="preserve">NDA stipulato con tutti i consulenti</w:t>
      </w:r>
    </w:p>
    <w:p>
      <w:r>
        <w:rPr>
          <w:color w:val="666666"/>
          <w:sz w:val="18"/>
          <w:szCs w:val="18"/>
        </w:rPr>
        <w:t xml:space="preserve">[boolean]  Condizionale  -  Base giuridica: NIS2 Art. 21(2)(i) / ENISA TIG §11.4</w:t>
      </w:r>
    </w:p>
    <w:p>
      <w:pPr>
        <w:jc w:val="both"/>
      </w:pPr>
      <w:r>
        <w:t xml:space="preserve">Selezionare sì se ogni consulente firma un accordo di riservatezza prima di essere assegnato al lavoro presso il cliente. Come parte del contratto di lavoro oppure come NDA separato.</w:t>
      </w:r>
    </w:p>
    <w:p/>
    <w:p>
      <w:pPr>
        <w:pStyle w:val="Heading3"/>
      </w:pPr>
      <w:r>
        <w:rPr>
          <w:b/>
          <w:bCs/>
        </w:rPr>
        <w:t xml:space="preserve">Politica di comportamento documentata presso la sede del cliente</w:t>
      </w:r>
    </w:p>
    <w:p>
      <w:r>
        <w:rPr>
          <w:color w:val="666666"/>
          <w:sz w:val="18"/>
          <w:szCs w:val="18"/>
        </w:rPr>
        <w:t xml:space="preserve">[boolean]  Condizionale  -  Base giuridica: NIS2 Art. 21(2)(i) / ENISA TIG §11.3</w:t>
      </w:r>
    </w:p>
    <w:p>
      <w:pPr>
        <w:jc w:val="both"/>
      </w:pPr>
      <w:r>
        <w:t xml:space="preserve">Selezionare sì se si dispone di un codice di condotta scritto per i consulenti che operano presso la sede del cliente: gestione dei badge, obbligo di blocco dello schermo, comportamento da tenere se i dati lasciano la sede.</w:t>
      </w:r>
    </w:p>
    <w:p/>
    <w:p>
      <w:pPr>
        <w:pStyle w:val="Heading1"/>
      </w:pPr>
      <w:r>
        <w:rPr>
          <w:b/>
          <w:bCs/>
        </w:rPr>
        <w:t xml:space="preserve">6. Managed Services  (3 campi)</w:t>
      </w:r>
    </w:p>
    <w:p>
      <w:pPr>
        <w:pStyle w:val="Heading3"/>
      </w:pPr>
      <w:r>
        <w:rPr>
          <w:b/>
          <w:bCs/>
        </w:rPr>
        <w:t xml:space="preserve">Gestione degli accessi privilegiati (PAM) attiva</w:t>
      </w:r>
    </w:p>
    <w:p>
      <w:r>
        <w:rPr>
          <w:color w:val="666666"/>
          <w:sz w:val="18"/>
          <w:szCs w:val="18"/>
        </w:rPr>
        <w:t xml:space="preserve">[boolean]  Condizionale  -  Base giuridica: NIS2 Art. 21(2)(i) / ENISA TIG §11.3</w:t>
      </w:r>
    </w:p>
    <w:p>
      <w:pPr>
        <w:jc w:val="both"/>
      </w:pPr>
      <w:r>
        <w:t xml:space="preserve">Selezionare sì se si utilizza uno strumento di gestione degli accessi privilegiati per le sessioni remote amministrative sui sistemi dei clienti. Esempi: CyberArk, BeyondTrust, Teleport. Una configurazione jump-host con registrazione dei log è valida.</w:t>
      </w:r>
    </w:p>
    <w:p/>
    <w:p>
      <w:pPr>
        <w:pStyle w:val="Heading3"/>
      </w:pPr>
      <w:r>
        <w:rPr>
          <w:b/>
          <w:bCs/>
        </w:rPr>
        <w:t xml:space="preserve">Le sessioni amministrative vengono registrate</w:t>
      </w:r>
    </w:p>
    <w:p>
      <w:r>
        <w:rPr>
          <w:color w:val="666666"/>
          <w:sz w:val="18"/>
          <w:szCs w:val="18"/>
        </w:rPr>
        <w:t xml:space="preserve">[boolean]  Condizionale  -  Base giuridica: NIS2 Art. 21(2)(f) / ENISA TIG §10</w:t>
      </w:r>
    </w:p>
    <w:p>
      <w:pPr>
        <w:jc w:val="both"/>
      </w:pPr>
      <w:r>
        <w:t xml:space="preserve">Selezionare sì se le sessioni amministrative sui sistemi dei clienti vengono registrate e conservate per la verifica. Conservazione comune: da 90 giorni a 1 anno. Necessaria per la ricostruzione forense dopo gli incidenti.</w:t>
      </w:r>
    </w:p>
    <w:p/>
    <w:p>
      <w:pPr>
        <w:pStyle w:val="Heading3"/>
      </w:pPr>
      <w:r>
        <w:rPr>
          <w:b/>
          <w:bCs/>
        </w:rPr>
        <w:t xml:space="preserve">Reperibilità 24/7</w:t>
      </w:r>
    </w:p>
    <w:p>
      <w:r>
        <w:rPr>
          <w:color w:val="666666"/>
          <w:sz w:val="18"/>
          <w:szCs w:val="18"/>
        </w:rPr>
        <w:t xml:space="preserve">[boolean]  Condizionale  -  Base giuridica: NIS2 Art. 21(2)(b) / ENISA TIG §3</w:t>
      </w:r>
    </w:p>
    <w:p>
      <w:pPr>
        <w:jc w:val="both"/>
      </w:pPr>
      <w:r>
        <w:t xml:space="preserve">Selezionare sì se si gestisce una reperibilità 24/7 che risponde agli incidenti di sicurezza sui sistemi dei clienti. Il supporto limitato all'orario lavorativo non è sufficiente.</w:t>
      </w:r>
    </w:p>
    <w:p/>
    <w:p>
      <w:r>
        <w:rPr>
          <w:color w:val="888888"/>
          <w:sz w:val="18"/>
          <w:szCs w:val="18"/>
        </w:rPr>
        <w:t xml:space="preserve">Licenza: MIT (schema) + CC BY 4.0 (contenuto). Libero di usare, forkare e adattare.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 per i fornitori NIS 2</dc:title>
  <dc:creator>NISD2</dc:creator>
  <dc:description>Un questionario aperto e ancorato al diritto dell'UE per la valutazione dei fornitori ai sensi di NIS 2</dc:description>
  <cp:lastModifiedBy>Un-named</cp:lastModifiedBy>
  <cp:revision>1</cp:revision>
  <dcterms:created xsi:type="dcterms:W3CDTF">2026-06-19T20:47:48.731Z</dcterms:created>
  <dcterms:modified xsi:type="dcterms:W3CDTF">2026-06-19T20:47:48.731Z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