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</w:rPr>
        <w:t xml:space="preserve">Kwestionariusz dla dostawców NIS 2</w:t>
      </w:r>
    </w:p>
    <w:p>
      <w:r>
        <w:rPr>
          <w:i/>
          <w:iCs/>
        </w:rPr>
        <w:t xml:space="preserve">Otwarty, zakotwiczony w prawie UE kwestionariusz do oceny dostawców w ramach NIS 2</w:t>
      </w:r>
    </w:p>
    <w:p>
      <w:r>
        <w:rPr>
          <w:color w:val="666666"/>
          <w:sz w:val="18"/>
          <w:szCs w:val="18"/>
        </w:rPr>
        <w:t xml:space="preserve">Wersja 3.1.0 - Ostatnia aktualizacja 2026-05-15 - 59 pól w 6 sekcjach</w:t>
      </w:r>
    </w:p>
    <w:p/>
    <w:p>
      <w:pPr>
        <w:jc w:val="both"/>
      </w:pPr>
      <w:r>
        <w:t xml:space="preserve">Każde pole jest zakotwiczone w pierwotnym źródle na poziomie UE: NIS 2 Art. 21(2), CIR 2024/2690, ENISA Technical Implementation Guidance, GDPR Art. 28 lub Cyber Resilience Act. Uzupełnienia sektorowe (TISAX, VDA ISA, BSI C5, KRITIS) są dodawane do tej podstawy.</w:t>
      </w:r>
    </w:p>
    <w:p>
      <w:r>
        <w:rPr>
          <w:color w:val="666666"/>
          <w:sz w:val="18"/>
          <w:szCs w:val="18"/>
        </w:rPr>
        <w:t xml:space="preserve">Źródło: github.com/NISD2/nis2-supply-chain-questionnaire-schema (MIT + CC BY 4.0)</w:t>
      </w:r>
    </w:p>
    <w:p/>
    <w:p>
      <w:pPr>
        <w:pStyle w:val="Heading1"/>
      </w:pPr>
      <w:r>
        <w:rPr>
          <w:b/>
          <w:bCs/>
        </w:rPr>
        <w:t xml:space="preserve">1. Profil dostawcy  (18 pól)</w:t>
      </w:r>
    </w:p>
    <w:p>
      <w:pPr>
        <w:pStyle w:val="Heading3"/>
      </w:pPr>
      <w:r>
        <w:rPr>
          <w:b/>
          <w:bCs/>
        </w:rPr>
        <w:t xml:space="preserve">Nazwa prawna</w:t>
      </w:r>
    </w:p>
    <w:p>
      <w:r>
        <w:rPr>
          <w:color w:val="666666"/>
          <w:sz w:val="18"/>
          <w:szCs w:val="18"/>
        </w:rPr>
        <w:t xml:space="preserve">[string]  Wymagane  -  Podstawa prawna: ENISA TIG §5.2</w:t>
      </w:r>
    </w:p>
    <w:p>
      <w:pPr>
        <w:jc w:val="both"/>
      </w:pPr>
      <w:r>
        <w:t xml:space="preserve">Zarejestrowana nazwa Twojej firmy, taka jak widnieje w rejestrze handlowym. Przykład: Müller GmbH lub Acme Software Ltd.</w:t>
      </w:r>
    </w:p>
    <w:p/>
    <w:p>
      <w:pPr>
        <w:pStyle w:val="Heading3"/>
      </w:pPr>
      <w:r>
        <w:rPr>
          <w:b/>
          <w:bCs/>
        </w:rPr>
        <w:t xml:space="preserve">Adres siedziby</w:t>
      </w:r>
    </w:p>
    <w:p>
      <w:r>
        <w:rPr>
          <w:color w:val="666666"/>
          <w:sz w:val="18"/>
          <w:szCs w:val="18"/>
        </w:rPr>
        <w:t xml:space="preserve">[string]  Wymagane  -  Podstawa prawna: ENISA TIG §5.2</w:t>
      </w:r>
    </w:p>
    <w:p>
      <w:pPr>
        <w:jc w:val="both"/>
      </w:pPr>
      <w:r>
        <w:t xml:space="preserve">Zarejestrowany adres prowadzenia działalności Twojej firmy. Wystarczy jeden adres, nawet jeśli masz kilka lokalizacji.</w:t>
      </w:r>
    </w:p>
    <w:p/>
    <w:p>
      <w:pPr>
        <w:pStyle w:val="Heading3"/>
      </w:pPr>
      <w:r>
        <w:rPr>
          <w:b/>
          <w:bCs/>
        </w:rPr>
        <w:t xml:space="preserve">Kraj</w:t>
      </w:r>
    </w:p>
    <w:p>
      <w:r>
        <w:rPr>
          <w:color w:val="666666"/>
          <w:sz w:val="18"/>
          <w:szCs w:val="18"/>
        </w:rPr>
        <w:t xml:space="preserve">[country]  Wymagane  -  Podstawa prawna: ENISA TIG §5.2</w:t>
      </w:r>
    </w:p>
    <w:p>
      <w:pPr>
        <w:jc w:val="both"/>
      </w:pPr>
      <w:r>
        <w:t xml:space="preserve">Kraj, w którym Twoja firma ma siedzibę prawną. Dwie litery, np. DE dla Niemiec.</w:t>
      </w:r>
    </w:p>
    <w:p/>
    <w:p>
      <w:pPr>
        <w:pStyle w:val="Heading3"/>
      </w:pPr>
      <w:r>
        <w:rPr>
          <w:b/>
          <w:bCs/>
        </w:rPr>
        <w:t xml:space="preserve">Domena główna</w:t>
      </w:r>
    </w:p>
    <w:p>
      <w:r>
        <w:rPr>
          <w:color w:val="666666"/>
          <w:sz w:val="18"/>
          <w:szCs w:val="18"/>
        </w:rPr>
        <w:t xml:space="preserve">[url]  Opcjonalne  -  Podstawa prawna: ENISA TIG §5.2(b)</w:t>
      </w:r>
    </w:p>
    <w:p>
      <w:pPr>
        <w:jc w:val="both"/>
      </w:pPr>
      <w:r>
        <w:t xml:space="preserve">Twoja domena główna, zwykle adres URL Twojej witryny. Przykład: acmesoftware.com.</w:t>
      </w:r>
    </w:p>
    <w:p/>
    <w:p>
      <w:pPr>
        <w:pStyle w:val="Heading3"/>
      </w:pPr>
      <w:r>
        <w:rPr>
          <w:b/>
          <w:bCs/>
        </w:rPr>
        <w:t xml:space="preserve">Slogan (jedna linia, widoczny dla klientów)</w:t>
      </w:r>
    </w:p>
    <w:p>
      <w:r>
        <w:rPr>
          <w:color w:val="666666"/>
          <w:sz w:val="18"/>
          <w:szCs w:val="18"/>
        </w:rPr>
        <w:t xml:space="preserve">[string]  Opcjonalne  -  Podstawa prawna: ENISA TIG §5.2(b)</w:t>
      </w:r>
    </w:p>
    <w:p>
      <w:pPr>
        <w:jc w:val="both"/>
      </w:pPr>
      <w:r>
        <w:t xml:space="preserve">Jedna linia podsumowująca Twoją ofertę. Klienci widzą ją w Twoim profilu dostawcy. Przykład: ERP dla produkcji w sektorze MŚP.</w:t>
      </w:r>
    </w:p>
    <w:p/>
    <w:p>
      <w:pPr>
        <w:pStyle w:val="Heading3"/>
      </w:pPr>
      <w:r>
        <w:rPr>
          <w:b/>
          <w:bCs/>
        </w:rPr>
        <w:t xml:space="preserve">Opis publiczny (dłuższy)</w:t>
      </w:r>
    </w:p>
    <w:p>
      <w:r>
        <w:rPr>
          <w:color w:val="666666"/>
          <w:sz w:val="18"/>
          <w:szCs w:val="18"/>
        </w:rPr>
        <w:t xml:space="preserve">[text]  Opcjonalne  -  Podstawa prawna: ENISA TIG §5.2(b)</w:t>
      </w:r>
    </w:p>
    <w:p>
      <w:pPr>
        <w:jc w:val="both"/>
      </w:pPr>
      <w:r>
        <w:t xml:space="preserve">Dwa do trzech zdań o Twojej firmie i tym, czym się zajmuje. Pojawia się to w Twoim profilu dostawcy. Argumentacja sprzedażowa, postawa w zakresie bezpieczeństwa lub oba elementy.</w:t>
      </w:r>
    </w:p>
    <w:p/>
    <w:p>
      <w:pPr>
        <w:pStyle w:val="Heading3"/>
      </w:pPr>
      <w:r>
        <w:rPr>
          <w:b/>
          <w:bCs/>
        </w:rPr>
        <w:t xml:space="preserve">Opis świadczonych usług</w:t>
      </w:r>
    </w:p>
    <w:p>
      <w:r>
        <w:rPr>
          <w:color w:val="666666"/>
          <w:sz w:val="18"/>
          <w:szCs w:val="18"/>
        </w:rPr>
        <w:t xml:space="preserve">[text]  Wymagane  -  Podstawa prawna: ENISA TIG §5.2(b) + §5.1.4 TIPS</w:t>
      </w:r>
    </w:p>
    <w:p>
      <w:pPr>
        <w:jc w:val="both"/>
      </w:pPr>
      <w:r>
        <w:t xml:space="preserve">Jeden akapit o tym, co Twoja firma technicznie dostarcza klientom. Konkretne produkty, moduły lub usługi. Unikaj czysto marketingowego języka.</w:t>
      </w:r>
    </w:p>
    <w:p/>
    <w:p>
      <w:pPr>
        <w:pStyle w:val="Heading3"/>
      </w:pPr>
      <w:r>
        <w:rPr>
          <w:b/>
          <w:bCs/>
        </w:rPr>
        <w:t xml:space="preserve">Kraje / regiony, w których przetwarzane są dane klientów</w:t>
      </w:r>
    </w:p>
    <w:p>
      <w:r>
        <w:rPr>
          <w:color w:val="666666"/>
          <w:sz w:val="18"/>
          <w:szCs w:val="18"/>
        </w:rPr>
        <w:t xml:space="preserve">[string]  Wymagane  -  Podstawa prawna: ENISA TIG §5.1.4 TIPS</w:t>
      </w:r>
    </w:p>
    <w:p>
      <w:pPr>
        <w:jc w:val="both"/>
      </w:pPr>
      <w:r>
        <w:t xml:space="preserve">Wszystkie kraje, w których przechowywane lub przetwarzane są dane Twoich klientów. Oddzielone przecinkami, kody krajów ISO. Przykład: DE, NL, US. Jeśli przetwarzasz dane wyłącznie w UE, wystarczy wymienić kraje UE.</w:t>
      </w:r>
    </w:p>
    <w:p/>
    <w:p>
      <w:pPr>
        <w:pStyle w:val="Heading3"/>
      </w:pPr>
      <w:r>
        <w:rPr>
          <w:b/>
          <w:bCs/>
        </w:rPr>
        <w:t xml:space="preserve">Imię i nazwisko kontaktu ds. bezpieczeństwa</w:t>
      </w:r>
    </w:p>
    <w:p>
      <w:r>
        <w:rPr>
          <w:color w:val="666666"/>
          <w:sz w:val="18"/>
          <w:szCs w:val="18"/>
        </w:rPr>
        <w:t xml:space="preserve">[string]  Wymagane  -  Podstawa prawna: CIR 2024/2690 §5.1.4(d)</w:t>
      </w:r>
    </w:p>
    <w:p>
      <w:pPr>
        <w:jc w:val="both"/>
      </w:pPr>
      <w:r>
        <w:t xml:space="preserve">Osoba, z którą klienci kontaktują się w przypadku incydentu bezpieczeństwa. W mniejszych firmach często dyrektor zarządzający lub kierownik IT. Wystarczy jedna osoba.</w:t>
      </w:r>
    </w:p>
    <w:p/>
    <w:p>
      <w:pPr>
        <w:pStyle w:val="Heading3"/>
      </w:pPr>
      <w:r>
        <w:rPr>
          <w:b/>
          <w:bCs/>
        </w:rPr>
        <w:t xml:space="preserve">E-mail kontaktowy do zgłaszania incydentów</w:t>
      </w:r>
    </w:p>
    <w:p>
      <w:r>
        <w:rPr>
          <w:color w:val="666666"/>
          <w:sz w:val="18"/>
          <w:szCs w:val="18"/>
        </w:rPr>
        <w:t xml:space="preserve">[email]  Wymagane  -  Podstawa prawna: CIR 2024/2690 §5.1.4(d)</w:t>
      </w:r>
    </w:p>
    <w:p>
      <w:pPr>
        <w:jc w:val="both"/>
      </w:pPr>
      <w:r>
        <w:t xml:space="preserve">Adres e-mail, którego klienci używają do zgłaszania incydentu bezpieczeństwa. Najlepiej lista dystrybucyjna, taka jak security@example.com, która dociera do wielu osób.</w:t>
      </w:r>
    </w:p>
    <w:p/>
    <w:p>
      <w:pPr>
        <w:pStyle w:val="Heading3"/>
      </w:pPr>
      <w:r>
        <w:rPr>
          <w:b/>
          <w:bCs/>
        </w:rPr>
        <w:t xml:space="preserve">Telefon kontaktowy do zgłaszania incydentów (24/7)</w:t>
      </w:r>
    </w:p>
    <w:p>
      <w:r>
        <w:rPr>
          <w:color w:val="666666"/>
          <w:sz w:val="18"/>
          <w:szCs w:val="18"/>
        </w:rPr>
        <w:t xml:space="preserve">[phone]  Opcjonalne  -  Podstawa prawna: CIR 2024/2690 §5.1.4(d)</w:t>
      </w:r>
    </w:p>
    <w:p>
      <w:pPr>
        <w:jc w:val="both"/>
      </w:pPr>
      <w:r>
        <w:t xml:space="preserve">Numer telefonu do pilnych zgłoszeń incydentów. Jeśli nie prowadzisz dyżuru 24/7, podaj godziny pracy w nawiasie.</w:t>
      </w:r>
    </w:p>
    <w:p/>
    <w:p>
      <w:pPr>
        <w:pStyle w:val="Heading3"/>
      </w:pPr>
      <w:r>
        <w:rPr>
          <w:b/>
          <w:bCs/>
        </w:rPr>
        <w:t xml:space="preserve">SLA powiadamiania o incydentach (godziny)</w:t>
      </w:r>
    </w:p>
    <w:p>
      <w:r>
        <w:rPr>
          <w:color w:val="666666"/>
          <w:sz w:val="18"/>
          <w:szCs w:val="18"/>
        </w:rPr>
        <w:t xml:space="preserve">[integer]  Opcjonalne  -  Podstawa prawna: NIS2 Art. 23</w:t>
      </w:r>
    </w:p>
    <w:p>
      <w:pPr>
        <w:jc w:val="both"/>
      </w:pPr>
      <w:r>
        <w:t xml:space="preserve">Liczba godzin od wykrycia incydentu do powiadomienia klienta, najpóźniej. Realistyczna samoocena, a nie wartość docelowa. Typowe wartości: 24, 48 lub 72 godziny.</w:t>
      </w:r>
    </w:p>
    <w:p/>
    <w:p>
      <w:pPr>
        <w:pStyle w:val="Heading3"/>
      </w:pPr>
      <w:r>
        <w:rPr>
          <w:b/>
          <w:bCs/>
        </w:rPr>
        <w:t xml:space="preserve">Identyfikator rejestracji BSI (tylko jeśli Twoja firma sama podlega NIS2)</w:t>
      </w:r>
    </w:p>
    <w:p>
      <w:r>
        <w:rPr>
          <w:color w:val="666666"/>
          <w:sz w:val="18"/>
          <w:szCs w:val="18"/>
        </w:rPr>
        <w:t xml:space="preserve">[string]  Opcjonalne  -  Podstawa prawna: ENISA TIG §5.1.2</w:t>
      </w:r>
    </w:p>
    <w:p>
      <w:pPr>
        <w:jc w:val="both"/>
      </w:pPr>
      <w:r>
        <w:t xml:space="preserve">Jeśli Twoja firma sama podlega NIS 2 i jest zarejestrowana w BSI, wpisz tutaj identyfikator rejestracji. Opcjonalne. Pozwala klientom od razu zobaczyć, że spełniasz ten sam obowiązek co podmiot regulowany.</w:t>
      </w:r>
    </w:p>
    <w:p/>
    <w:p>
      <w:pPr>
        <w:pStyle w:val="Heading3"/>
      </w:pPr>
      <w:r>
        <w:rPr>
          <w:b/>
          <w:bCs/>
        </w:rPr>
        <w:t xml:space="preserve">Świadczymy usługi SaaS / hostowane</w:t>
      </w:r>
    </w:p>
    <w:p>
      <w:r>
        <w:rPr>
          <w:color w:val="666666"/>
          <w:sz w:val="18"/>
          <w:szCs w:val="18"/>
        </w:rPr>
        <w:t xml:space="preserve">[boolean]  Wymagane  -  Podstawa prawna: ENISA TIG §5.2(b)</w:t>
      </w:r>
    </w:p>
    <w:p>
      <w:pPr>
        <w:jc w:val="both"/>
      </w:pPr>
      <w:r>
        <w:t xml:space="preserve">Uruchamiasz oprogramowanie dla klientów na własnej infrastrukturze i dostarczasz je przez internet. Zaznacz więcej niż jedno pole, jeśli oferujesz kilka modeli.</w:t>
      </w:r>
    </w:p>
    <w:p/>
    <w:p>
      <w:pPr>
        <w:pStyle w:val="Heading3"/>
      </w:pPr>
      <w:r>
        <w:rPr>
          <w:b/>
          <w:bCs/>
        </w:rPr>
        <w:t xml:space="preserve">Dostarczamy oprogramowanie on-premise</w:t>
      </w:r>
    </w:p>
    <w:p>
      <w:r>
        <w:rPr>
          <w:color w:val="666666"/>
          <w:sz w:val="18"/>
          <w:szCs w:val="18"/>
        </w:rPr>
        <w:t xml:space="preserve">[boolean]  Wymagane  -  Podstawa prawna: ENISA TIG §5.2(b)</w:t>
      </w:r>
    </w:p>
    <w:p>
      <w:pPr>
        <w:jc w:val="both"/>
      </w:pPr>
      <w:r>
        <w:t xml:space="preserve">Dostarczasz oprogramowanie, które klienci instalują i uruchamiają na własnej infrastrukturze.</w:t>
      </w:r>
    </w:p>
    <w:p/>
    <w:p>
      <w:pPr>
        <w:pStyle w:val="Heading3"/>
      </w:pPr>
      <w:r>
        <w:rPr>
          <w:b/>
          <w:bCs/>
        </w:rPr>
        <w:t xml:space="preserve">Świadczymy usługi profesjonalne / doradztwo</w:t>
      </w:r>
    </w:p>
    <w:p>
      <w:r>
        <w:rPr>
          <w:color w:val="666666"/>
          <w:sz w:val="18"/>
          <w:szCs w:val="18"/>
        </w:rPr>
        <w:t xml:space="preserve">[boolean]  Wymagane  -  Podstawa prawna: ENISA TIG §5.2(b)</w:t>
      </w:r>
    </w:p>
    <w:p>
      <w:pPr>
        <w:jc w:val="both"/>
      </w:pPr>
      <w:r>
        <w:t xml:space="preserve">Twoim głównym produktem jest praca ludzka: doradztwo, wdrożenie, szkolenia, audyt lub dostosowanie.</w:t>
      </w:r>
    </w:p>
    <w:p/>
    <w:p>
      <w:pPr>
        <w:pStyle w:val="Heading3"/>
      </w:pPr>
      <w:r>
        <w:rPr>
          <w:b/>
          <w:bCs/>
        </w:rPr>
        <w:t xml:space="preserve">Świadczymy usługi zarządzane / MSP</w:t>
      </w:r>
    </w:p>
    <w:p>
      <w:r>
        <w:rPr>
          <w:color w:val="666666"/>
          <w:sz w:val="18"/>
          <w:szCs w:val="18"/>
        </w:rPr>
        <w:t xml:space="preserve">[boolean]  Wymagane  -  Podstawa prawna: ENISA TIG §5.2(b)</w:t>
      </w:r>
    </w:p>
    <w:p>
      <w:pPr>
        <w:jc w:val="both"/>
      </w:pPr>
      <w:r>
        <w:t xml:space="preserve">Obsługujesz dla klienta części jego infrastruktury IT, własnym personelem. Typowe dla modeli MSP i MSSP.</w:t>
      </w:r>
    </w:p>
    <w:p/>
    <w:p>
      <w:pPr>
        <w:pStyle w:val="Heading3"/>
      </w:pPr>
      <w:r>
        <w:rPr>
          <w:b/>
          <w:bCs/>
        </w:rPr>
        <w:t xml:space="preserve">Używamy, integrujemy lub dostarczamy systemy SI</w:t>
      </w:r>
    </w:p>
    <w:p>
      <w:r>
        <w:rPr>
          <w:color w:val="666666"/>
          <w:sz w:val="18"/>
          <w:szCs w:val="18"/>
        </w:rPr>
        <w:t xml:space="preserve">[boolean]  Wymagane  -  Podstawa prawna: NIS2 Art. 21(2)(d)</w:t>
      </w:r>
    </w:p>
    <w:p>
      <w:pPr>
        <w:jc w:val="both"/>
      </w:pPr>
      <w:r>
        <w:t xml:space="preserve">Czy Twoje produkty lub usługi przetwarzają dane klientów za pomocą modelu SI lub ML? Obejmuje to modele zewnętrzne wywoływane przez API, na przykład OpenAI lub Anthropic.</w:t>
      </w:r>
    </w:p>
    <w:p/>
    <w:p>
      <w:pPr>
        <w:pStyle w:val="Heading1"/>
      </w:pPr>
      <w:r>
        <w:rPr>
          <w:b/>
          <w:bCs/>
        </w:rPr>
        <w:t xml:space="preserve">2. Praktyki bezpieczeństwa  (26 pól)</w:t>
      </w:r>
    </w:p>
    <w:p>
      <w:pPr>
        <w:pStyle w:val="Heading3"/>
      </w:pPr>
      <w:r>
        <w:rPr>
          <w:b/>
          <w:bCs/>
        </w:rPr>
        <w:t xml:space="preserve">Udokumentowany system zarządzania bezpieczeństwem informacji (ISMS)</w:t>
      </w:r>
    </w:p>
    <w:p>
      <w:r>
        <w:rPr>
          <w:color w:val="666666"/>
          <w:sz w:val="18"/>
          <w:szCs w:val="18"/>
        </w:rPr>
        <w:t xml:space="preserve">[boolean]  Wymagane  -  Podstawa prawna: CIR 2024/2690 §5.1.2(a)</w:t>
      </w:r>
    </w:p>
    <w:p>
      <w:pPr>
        <w:jc w:val="both"/>
      </w:pPr>
      <w:r>
        <w:t xml:space="preserve">Zaznacz tak, jeśli masz pisemną politykę bezpieczeństwa informacji z przypisanymi rolami, regularnymi przeglądami i udokumentowaną obsługą incydentów. Certyfikacja ISO 27001 lub BSI Grundschutz oznacza tak.</w:t>
      </w:r>
    </w:p>
    <w:p/>
    <w:p>
      <w:pPr>
        <w:pStyle w:val="Heading3"/>
      </w:pPr>
      <w:r>
        <w:rPr>
          <w:b/>
          <w:bCs/>
        </w:rPr>
        <w:t xml:space="preserve">Posiadanie certyfikatu ISO 27001, BSI Grundschutz lub równoważnego</w:t>
      </w:r>
    </w:p>
    <w:p>
      <w:r>
        <w:rPr>
          <w:color w:val="666666"/>
          <w:sz w:val="18"/>
          <w:szCs w:val="18"/>
        </w:rPr>
        <w:t xml:space="preserve">[boolean]  Wymagane  -  Podstawa prawna: CIR 2024/2690 §5.1.2(b)</w:t>
      </w:r>
    </w:p>
    <w:p>
      <w:pPr>
        <w:jc w:val="both"/>
      </w:pPr>
      <w:r>
        <w:t xml:space="preserve">Zaznacz tak, jeśli Twoja firma posiada aktualnie certyfikat ISO 27001, BSI Grundschutz, SOC 2 Type II lub równoważny. Prześlij certyfikat w zakładce Certyfikaty.</w:t>
      </w:r>
    </w:p>
    <w:p/>
    <w:p>
      <w:pPr>
        <w:pStyle w:val="Heading3"/>
      </w:pPr>
      <w:r>
        <w:rPr>
          <w:b/>
          <w:bCs/>
        </w:rPr>
        <w:t xml:space="preserve">Coroczne szkolenie z zakresu świadomości bezpieczeństwa dla całego personelu</w:t>
      </w:r>
    </w:p>
    <w:p>
      <w:r>
        <w:rPr>
          <w:color w:val="666666"/>
          <w:sz w:val="18"/>
          <w:szCs w:val="18"/>
        </w:rPr>
        <w:t xml:space="preserve">[boolean]  Wymagane  -  Podstawa prawna: CIR 2024/2690 §5.1.4(b)</w:t>
      </w:r>
    </w:p>
    <w:p>
      <w:pPr>
        <w:jc w:val="both"/>
      </w:pPr>
      <w:r>
        <w:t xml:space="preserve">Zaznacz tak, jeśli każdy pracownik otrzymuje co najmniej jedno coroczne szkolenie z zakresu świadomości bezpieczeństwa informacji. E-learning się liczy; symulacje phishingu są uzupełnieniem.</w:t>
      </w:r>
    </w:p>
    <w:p/>
    <w:p>
      <w:pPr>
        <w:pStyle w:val="Heading3"/>
      </w:pPr>
      <w:r>
        <w:rPr>
          <w:b/>
          <w:bCs/>
        </w:rPr>
        <w:t xml:space="preserve">Weryfikacja przeszłości personelu z dostępem do danych klientów</w:t>
      </w:r>
    </w:p>
    <w:p>
      <w:r>
        <w:rPr>
          <w:color w:val="666666"/>
          <w:sz w:val="18"/>
          <w:szCs w:val="18"/>
        </w:rPr>
        <w:t xml:space="preserve">[boolean]  Wymagane  -  Podstawa prawna: CIR 2024/2690 §5.1.4(c)</w:t>
      </w:r>
    </w:p>
    <w:p>
      <w:pPr>
        <w:jc w:val="both"/>
      </w:pPr>
      <w:r>
        <w:t xml:space="preserve">Zaznacz tak, jeśli przeprowadzasz weryfikację przeszłości personelu z dostępem do danych klientów. Typowy poziom: wyciąg z rejestru karnego lub równoważny dokument przy zatrudnieniu.</w:t>
      </w:r>
    </w:p>
    <w:p/>
    <w:p>
      <w:pPr>
        <w:pStyle w:val="Heading3"/>
      </w:pPr>
      <w:r>
        <w:rPr>
          <w:b/>
          <w:bCs/>
        </w:rPr>
        <w:t xml:space="preserve">Udokumentowany proces obsługi podatności i instalowania poprawek</w:t>
      </w:r>
    </w:p>
    <w:p>
      <w:r>
        <w:rPr>
          <w:color w:val="666666"/>
          <w:sz w:val="18"/>
          <w:szCs w:val="18"/>
        </w:rPr>
        <w:t xml:space="preserve">[boolean]  Wymagane  -  Podstawa prawna: CIR 2024/2690 §5.1.4(f)</w:t>
      </w:r>
    </w:p>
    <w:p>
      <w:pPr>
        <w:jc w:val="both"/>
      </w:pPr>
      <w:r>
        <w:t xml:space="preserve">Zaznacz tak, jeśli masz pisemny proces obsługi podatności bezpieczeństwa: wykrywanie, ocena, priorytetyzacja, instalowanie poprawek lub łagodzenie. Monitorowanie CVE i instalowanie poprawek w oparciu o SLA są standardem.</w:t>
      </w:r>
    </w:p>
    <w:p/>
    <w:p>
      <w:pPr>
        <w:pStyle w:val="Heading3"/>
      </w:pPr>
      <w:r>
        <w:rPr>
          <w:b/>
          <w:bCs/>
        </w:rPr>
        <w:t xml:space="preserve">Akceptacja prawa klienta do audytu (lub udostępnianie raportów z audytu)</w:t>
      </w:r>
    </w:p>
    <w:p>
      <w:r>
        <w:rPr>
          <w:color w:val="666666"/>
          <w:sz w:val="18"/>
          <w:szCs w:val="18"/>
        </w:rPr>
        <w:t xml:space="preserve">[boolean]  Wymagane  -  Podstawa prawna: CIR 2024/2690 §5.1.4(e)</w:t>
      </w:r>
    </w:p>
    <w:p>
      <w:pPr>
        <w:jc w:val="both"/>
      </w:pPr>
      <w:r>
        <w:t xml:space="preserve">Zaznacz tak, jeśli przyznajesz klientom prawo do audytu na miejscu albo udostępniasz zastępcze raporty z audytu (na przykład SOC 2, ISAE 3402).</w:t>
      </w:r>
    </w:p>
    <w:p/>
    <w:p>
      <w:pPr>
        <w:pStyle w:val="Heading3"/>
      </w:pPr>
      <w:r>
        <w:rPr>
          <w:b/>
          <w:bCs/>
        </w:rPr>
        <w:t xml:space="preserve">Korzystanie z podwykonawców przetwarzania / poddostawców</w:t>
      </w:r>
    </w:p>
    <w:p>
      <w:r>
        <w:rPr>
          <w:color w:val="666666"/>
          <w:sz w:val="18"/>
          <w:szCs w:val="18"/>
        </w:rPr>
        <w:t xml:space="preserve">[boolean]  Wymagane  -  Podstawa prawna: CIR 2024/2690 §5.1.4(g)</w:t>
      </w:r>
    </w:p>
    <w:p>
      <w:pPr>
        <w:jc w:val="both"/>
      </w:pPr>
      <w:r>
        <w:t xml:space="preserve">Zaznacz tak, jeśli do świadczenia usługi korzystasz z innych firm, które mają dostęp do danych lub infrastruktury klientów. Typowe przykłady: AWS, Azure, Cloudflare, Stripe.</w:t>
      </w:r>
    </w:p>
    <w:p/>
    <w:p>
      <w:pPr>
        <w:pStyle w:val="Heading3"/>
      </w:pPr>
      <w:r>
        <w:rPr>
          <w:b/>
          <w:bCs/>
        </w:rPr>
        <w:t xml:space="preserve">Lista podwykonawców przetwarzania</w:t>
      </w:r>
    </w:p>
    <w:p>
      <w:r>
        <w:rPr>
          <w:color w:val="666666"/>
          <w:sz w:val="18"/>
          <w:szCs w:val="18"/>
        </w:rPr>
        <w:t xml:space="preserve">[text]  Warunkowe  -  Podstawa prawna: CIR 2024/2690 §5.1.4(g)</w:t>
      </w:r>
    </w:p>
    <w:p>
      <w:pPr>
        <w:jc w:val="both"/>
      </w:pPr>
      <w:r>
        <w:t xml:space="preserve">Wymień każdego podwykonawcę przetwarzania z nazwą, miejscem przetwarzania i tym, co dla Ciebie robi. Wystarczy tabela lub lista punktowana. Aktualizuj ją za każdym razem, gdy dodajesz lub usuwasz podwykonawcę.</w:t>
      </w:r>
    </w:p>
    <w:p/>
    <w:p>
      <w:pPr>
        <w:pStyle w:val="Heading3"/>
      </w:pPr>
      <w:r>
        <w:rPr>
          <w:b/>
          <w:bCs/>
        </w:rPr>
        <w:t xml:space="preserve">Zobowiązanie do zwrotu / zniszczenia danych klientów po zakończeniu umowy</w:t>
      </w:r>
    </w:p>
    <w:p>
      <w:r>
        <w:rPr>
          <w:color w:val="666666"/>
          <w:sz w:val="18"/>
          <w:szCs w:val="18"/>
        </w:rPr>
        <w:t xml:space="preserve">[boolean]  Wymagane  -  Podstawa prawna: CIR 2024/2690 §5.1.4(h)</w:t>
      </w:r>
    </w:p>
    <w:p>
      <w:pPr>
        <w:jc w:val="both"/>
      </w:pPr>
      <w:r>
        <w:t xml:space="preserve">Zaznacz tak, jeśli zobowiązujesz się umownie do zwrotu lub zniszczenia danych klientów po zakończeniu umowy. Powszechna praktyka: eksport i zwrot, a następnie usunięcie w ciągu 30 dni.</w:t>
      </w:r>
    </w:p>
    <w:p/>
    <w:p>
      <w:pPr>
        <w:pStyle w:val="Heading3"/>
      </w:pPr>
      <w:r>
        <w:rPr>
          <w:b/>
          <w:bCs/>
        </w:rPr>
        <w:t xml:space="preserve">Dostępna standardowa umowa o przetwarzaniu danych (DPA)</w:t>
      </w:r>
    </w:p>
    <w:p>
      <w:r>
        <w:rPr>
          <w:color w:val="666666"/>
          <w:sz w:val="18"/>
          <w:szCs w:val="18"/>
        </w:rPr>
        <w:t xml:space="preserve">[boolean]  Wymagane  -  Podstawa prawna: GDPR Art. 28</w:t>
      </w:r>
    </w:p>
    <w:p>
      <w:pPr>
        <w:jc w:val="both"/>
      </w:pPr>
      <w:r>
        <w:t xml:space="preserve">Zaznacz tak, jeśli masz standardową umowę o przetwarzaniu danych zgodnie z artykułem 28 GDPR, którą klienci mogą podpisać. Wymagane, gdy tylko przetwarzasz dane osobowe.</w:t>
      </w:r>
    </w:p>
    <w:p/>
    <w:p>
      <w:pPr>
        <w:pStyle w:val="Heading3"/>
      </w:pPr>
      <w:r>
        <w:rPr>
          <w:b/>
          <w:bCs/>
        </w:rPr>
        <w:t xml:space="preserve">Polityki bezpieczeństwa są przeglądane co najmniej raz w roku</w:t>
      </w:r>
    </w:p>
    <w:p>
      <w:r>
        <w:rPr>
          <w:color w:val="666666"/>
          <w:sz w:val="18"/>
          <w:szCs w:val="18"/>
        </w:rPr>
        <w:t xml:space="preserve">[boolean]  Wymagane  -  Podstawa prawna: NIS2 Art. 21(2)(a) / ENISA TIG §1.1</w:t>
      </w:r>
    </w:p>
    <w:p>
      <w:pPr>
        <w:jc w:val="both"/>
      </w:pPr>
      <w:r>
        <w:t xml:space="preserve">Zaznacz tak, jeśli Twoje polityki bezpieczeństwa są przeglądane co najmniej raz w roku i aktualizowane w razie potrzeby. Pisemna notatka w dokumencie jest wystarczającym dowodem.</w:t>
      </w:r>
    </w:p>
    <w:p/>
    <w:p>
      <w:pPr>
        <w:pStyle w:val="Heading3"/>
      </w:pPr>
      <w:r>
        <w:rPr>
          <w:b/>
          <w:bCs/>
        </w:rPr>
        <w:t xml:space="preserve">Udokumentowany plan reagowania na incydenty</w:t>
      </w:r>
    </w:p>
    <w:p>
      <w:r>
        <w:rPr>
          <w:color w:val="666666"/>
          <w:sz w:val="18"/>
          <w:szCs w:val="18"/>
        </w:rPr>
        <w:t xml:space="preserve">[boolean]  Wymagane  -  Podstawa prawna: NIS2 Art. 21(2)(b) / ENISA TIG §3</w:t>
      </w:r>
    </w:p>
    <w:p>
      <w:pPr>
        <w:jc w:val="both"/>
      </w:pPr>
      <w:r>
        <w:t xml:space="preserve">Zaznacz tak, jeśli masz pisemny plan obsługi incydentów bezpieczeństwa: kto decyduje, kto komunikuje, kto dokumentuje. Co najmniej jedno ćwiczenie sztabowe rocznie to dobra praktyka.</w:t>
      </w:r>
    </w:p>
    <w:p/>
    <w:p>
      <w:pPr>
        <w:pStyle w:val="Heading3"/>
      </w:pPr>
      <w:r>
        <w:rPr>
          <w:b/>
          <w:bCs/>
        </w:rPr>
        <w:t xml:space="preserve">Udokumentowany plan ciągłości działania / odtwarzania po awarii</w:t>
      </w:r>
    </w:p>
    <w:p>
      <w:r>
        <w:rPr>
          <w:color w:val="666666"/>
          <w:sz w:val="18"/>
          <w:szCs w:val="18"/>
        </w:rPr>
        <w:t xml:space="preserve">[boolean]  Wymagane  -  Podstawa prawna: NIS2 Art. 21(2)(c) / ENISA TIG §4</w:t>
      </w:r>
    </w:p>
    <w:p>
      <w:pPr>
        <w:jc w:val="both"/>
      </w:pPr>
      <w:r>
        <w:t xml:space="preserve">Zaznacz tak, jeśli masz plan wyjaśniający, jak utrzymujesz działanie lub szybko przywracasz je podczas awarii: systemy krytyczne, rozwiązania awaryjne, cele RTO i RPO.</w:t>
      </w:r>
    </w:p>
    <w:p/>
    <w:p>
      <w:pPr>
        <w:pStyle w:val="Heading3"/>
      </w:pPr>
      <w:r>
        <w:rPr>
          <w:b/>
          <w:bCs/>
        </w:rPr>
        <w:t xml:space="preserve">Udokumentowana polityka kryptografii</w:t>
      </w:r>
    </w:p>
    <w:p>
      <w:r>
        <w:rPr>
          <w:color w:val="666666"/>
          <w:sz w:val="18"/>
          <w:szCs w:val="18"/>
        </w:rPr>
        <w:t xml:space="preserve">[boolean]  Wymagane  -  Podstawa prawna: NIS2 Art. 21(2)(h) / ENISA TIG §9</w:t>
      </w:r>
    </w:p>
    <w:p>
      <w:pPr>
        <w:jc w:val="both"/>
      </w:pPr>
      <w:r>
        <w:t xml:space="preserve">Zaznacz tak, jeśli masz pisemnie określone, jaką kryptografię stosujesz i gdzie: dane w tranzycie (TLS 1.2+), dane w spoczynku (AES-256), zarządzanie kluczami, algorytmy haszujące.</w:t>
      </w:r>
    </w:p>
    <w:p/>
    <w:p>
      <w:pPr>
        <w:pStyle w:val="Heading3"/>
      </w:pPr>
      <w:r>
        <w:rPr>
          <w:b/>
          <w:bCs/>
        </w:rPr>
        <w:t xml:space="preserve">Zarządzanie dostępem uprzywilejowanym (PAM) dla personelu wewnętrznego</w:t>
      </w:r>
    </w:p>
    <w:p>
      <w:r>
        <w:rPr>
          <w:color w:val="666666"/>
          <w:sz w:val="18"/>
          <w:szCs w:val="18"/>
        </w:rPr>
        <w:t xml:space="preserve">[boolean]  Wymagane  -  Podstawa prawna: NIS2 Art. 21(2)(i) / ENISA TIG §11.3</w:t>
      </w:r>
    </w:p>
    <w:p>
      <w:pPr>
        <w:jc w:val="both"/>
      </w:pPr>
      <w:r>
        <w:t xml:space="preserve">Zaznacz tak, jeśli administratorzy i konta uprzywilejowane mają dodatkowe mechanizmy kontroli: osobne logowanie, MFA, rejestrowanie sesji lub dostęp just-in-time.</w:t>
      </w:r>
    </w:p>
    <w:p/>
    <w:p>
      <w:pPr>
        <w:pStyle w:val="Heading3"/>
      </w:pPr>
      <w:r>
        <w:rPr>
          <w:b/>
          <w:bCs/>
        </w:rPr>
        <w:t xml:space="preserve">MFA wymuszone dla wszystkich wewnętrznych kont administracyjnych / uprzywilejowanych</w:t>
      </w:r>
    </w:p>
    <w:p>
      <w:r>
        <w:rPr>
          <w:color w:val="666666"/>
          <w:sz w:val="18"/>
          <w:szCs w:val="18"/>
        </w:rPr>
        <w:t xml:space="preserve">[boolean]  Wymagane  -  Podstawa prawna: NIS2 Art. 21(2)(j)</w:t>
      </w:r>
    </w:p>
    <w:p>
      <w:pPr>
        <w:jc w:val="both"/>
      </w:pPr>
      <w:r>
        <w:t xml:space="preserve">Zaznacz tak, jeśli każde wewnętrzne konto administracyjne lub uprzywilejowane musi używać MFA. Tokeny sprzętowe lub aplikacje uwierzytelniające się liczą; SMS nie.</w:t>
      </w:r>
    </w:p>
    <w:p/>
    <w:p>
      <w:pPr>
        <w:pStyle w:val="Heading3"/>
      </w:pPr>
      <w:r>
        <w:rPr>
          <w:b/>
          <w:bCs/>
        </w:rPr>
        <w:t xml:space="preserve">Prowadzenie inwentaryzacji zasobów informacyjnych</w:t>
      </w:r>
    </w:p>
    <w:p>
      <w:r>
        <w:rPr>
          <w:color w:val="666666"/>
          <w:sz w:val="18"/>
          <w:szCs w:val="18"/>
        </w:rPr>
        <w:t xml:space="preserve">[boolean]  Wymagane  -  Podstawa prawna: NIS2 Art. 21(2)(i) / ENISA TIG §12.4</w:t>
      </w:r>
    </w:p>
    <w:p>
      <w:pPr>
        <w:jc w:val="both"/>
      </w:pPr>
      <w:r>
        <w:t xml:space="preserve">Zaznacz tak, jeśli prowadzisz aktualną listę każdego systemu informacyjnego używanego do świadczenia usługi: serwery, bazy danych, narzędzia SaaS, punkty końcowe. Wystarczy arkusz kalkulacyjny.</w:t>
      </w:r>
    </w:p>
    <w:p/>
    <w:p>
      <w:pPr>
        <w:pStyle w:val="Heading3"/>
      </w:pPr>
      <w:r>
        <w:rPr>
          <w:b/>
          <w:bCs/>
        </w:rPr>
        <w:t xml:space="preserve">Program testów penetracyjnych co rok lub co dwa lata</w:t>
      </w:r>
    </w:p>
    <w:p>
      <w:r>
        <w:rPr>
          <w:color w:val="666666"/>
          <w:sz w:val="18"/>
          <w:szCs w:val="18"/>
        </w:rPr>
        <w:t xml:space="preserve">[boolean]  Wymagane  -  Podstawa prawna: NIS2 Art. 21(2)(e) / ENISA TIG §6.5</w:t>
      </w:r>
    </w:p>
    <w:p>
      <w:pPr>
        <w:jc w:val="both"/>
      </w:pPr>
      <w:r>
        <w:t xml:space="preserve">Zaznacz tak, jeśli zlecasz zewnętrzny test penetracyjny co najmniej raz na jeden do dwóch lat. W przypadku mniejszych firm akceptowalnym minimalnym krokiem jest zewnętrzne skanowanie podatności.</w:t>
      </w:r>
    </w:p>
    <w:p/>
    <w:p>
      <w:pPr>
        <w:pStyle w:val="Heading3"/>
      </w:pPr>
      <w:r>
        <w:rPr>
          <w:b/>
          <w:bCs/>
        </w:rPr>
        <w:t xml:space="preserve">Ujawniamy przeszłe podlegające zgłoszeniu zdarzenia cyberbezpieczeństwa na prośbę klientów</w:t>
      </w:r>
    </w:p>
    <w:p>
      <w:r>
        <w:rPr>
          <w:color w:val="666666"/>
          <w:sz w:val="18"/>
          <w:szCs w:val="18"/>
        </w:rPr>
        <w:t xml:space="preserve">[boolean]  Wymagane  -  Podstawa prawna: ENISA TIG §5.1.2</w:t>
      </w:r>
    </w:p>
    <w:p>
      <w:pPr>
        <w:jc w:val="both"/>
      </w:pPr>
      <w:r>
        <w:t xml:space="preserve">Zaznacz tak, jeśli na prośbę klienta otwarcie ujawniasz, czy i jakie podlegające zgłoszeniu incydenty bezpieczeństwa Twoja firma miała w przeszłości. Typowy okres: ostatnie od trzech do pięciu lat.</w:t>
      </w:r>
    </w:p>
    <w:p/>
    <w:p>
      <w:pPr>
        <w:pStyle w:val="Heading3"/>
      </w:pPr>
      <w:r>
        <w:rPr>
          <w:b/>
          <w:bCs/>
        </w:rPr>
        <w:t xml:space="preserve">Zapewniamy klientom pomoc w razie incydentu bez kosztów / po kosztach ustalonych z góry</w:t>
      </w:r>
    </w:p>
    <w:p>
      <w:r>
        <w:rPr>
          <w:color w:val="666666"/>
          <w:sz w:val="18"/>
          <w:szCs w:val="18"/>
        </w:rPr>
        <w:t xml:space="preserve">[boolean]  Wymagane  -  Podstawa prawna: ENISA TIG §5.1.4 TIPS</w:t>
      </w:r>
    </w:p>
    <w:p>
      <w:pPr>
        <w:jc w:val="both"/>
      </w:pPr>
      <w:r>
        <w:t xml:space="preserve">Zaznacz tak, jeśli zobowiązujesz się pomagać klientom bez dodatkowych kosztów, gdy incydent jest spowodowany przez Twój produkt lub usługę. Jeśli zamiast tego z góry uzgadniasz wcześniej zdefiniowaną stawkę dzienną, również zaznacz tak.</w:t>
      </w:r>
    </w:p>
    <w:p/>
    <w:p>
      <w:pPr>
        <w:pStyle w:val="Heading3"/>
      </w:pPr>
      <w:r>
        <w:rPr>
          <w:b/>
          <w:bCs/>
        </w:rPr>
        <w:t xml:space="preserve">Pełna współpraca z właściwymi organami (BSI, ENISA, krajowe CSIRT)</w:t>
      </w:r>
    </w:p>
    <w:p>
      <w:r>
        <w:rPr>
          <w:color w:val="666666"/>
          <w:sz w:val="18"/>
          <w:szCs w:val="18"/>
        </w:rPr>
        <w:t xml:space="preserve">[boolean]  Wymagane  -  Podstawa prawna: ENISA TIG §5.1.4 TIPS</w:t>
      </w:r>
    </w:p>
    <w:p>
      <w:pPr>
        <w:jc w:val="both"/>
      </w:pPr>
      <w:r>
        <w:t xml:space="preserve">Zaznacz tak, jeśli zobowiązujesz się do pełnej współpracy z właściwymi organami, takimi jak BSI, ENISA lub krajowe CSIRT, podczas inspekcji, audytów i obsługi incydentów. Standard dla poważnych dostawców.</w:t>
      </w:r>
    </w:p>
    <w:p/>
    <w:p>
      <w:pPr>
        <w:pStyle w:val="Heading3"/>
      </w:pPr>
      <w:r>
        <w:rPr>
          <w:b/>
          <w:bCs/>
        </w:rPr>
        <w:t xml:space="preserve">Powiadamiamy klientów o każdej istotnej zmianie wpływającej na świadczenie usługi</w:t>
      </w:r>
    </w:p>
    <w:p>
      <w:r>
        <w:rPr>
          <w:color w:val="666666"/>
          <w:sz w:val="18"/>
          <w:szCs w:val="18"/>
        </w:rPr>
        <w:t xml:space="preserve">[boolean]  Wymagane  -  Podstawa prawna: ENISA TIG §5.1.4 TIPS</w:t>
      </w:r>
    </w:p>
    <w:p>
      <w:pPr>
        <w:jc w:val="both"/>
      </w:pPr>
      <w:r>
        <w:t xml:space="preserve">Zaznacz tak, jeśli zobowiązujesz się powiadamiać klientów o każdej istotnej zmianie wpływającej na Twoją zdolność do świadczenia usługi: przejęcia, zmiany podwykonawcy przetwarzania, poważne zmiany techniczne.</w:t>
      </w:r>
    </w:p>
    <w:p/>
    <w:p>
      <w:pPr>
        <w:pStyle w:val="Heading3"/>
      </w:pPr>
      <w:r>
        <w:rPr>
          <w:b/>
          <w:bCs/>
        </w:rPr>
        <w:t xml:space="preserve">Powiadamiamy klientów z wyprzedzeniem, jeśli zmieniają się miejsca przetwarzania danych</w:t>
      </w:r>
    </w:p>
    <w:p>
      <w:r>
        <w:rPr>
          <w:color w:val="666666"/>
          <w:sz w:val="18"/>
          <w:szCs w:val="18"/>
        </w:rPr>
        <w:t xml:space="preserve">[boolean]  Wymagane  -  Podstawa prawna: ENISA TIG §5.1.4 TIPS</w:t>
      </w:r>
    </w:p>
    <w:p>
      <w:pPr>
        <w:jc w:val="both"/>
      </w:pPr>
      <w:r>
        <w:t xml:space="preserve">Zaznacz tak, jeśli informujesz klientów z wyprzedzeniem, zanim zmieni się miejsce przetwarzania ich danych. Ważne dla ochrony danych i dla zgodnego z GDPR nadzoru nad łańcuchem dostaw.</w:t>
      </w:r>
    </w:p>
    <w:p/>
    <w:p>
      <w:pPr>
        <w:pStyle w:val="Heading3"/>
      </w:pPr>
      <w:r>
        <w:rPr>
          <w:b/>
          <w:bCs/>
        </w:rPr>
        <w:t xml:space="preserve">Udokumentowana strategia wyjścia z obowiązkowym okresem przejściowym</w:t>
      </w:r>
    </w:p>
    <w:p>
      <w:r>
        <w:rPr>
          <w:color w:val="666666"/>
          <w:sz w:val="18"/>
          <w:szCs w:val="18"/>
        </w:rPr>
        <w:t xml:space="preserve">[boolean]  Wymagane  -  Podstawa prawna: ENISA TIG §5.1.4 TIPS</w:t>
      </w:r>
    </w:p>
    <w:p>
      <w:pPr>
        <w:jc w:val="both"/>
      </w:pPr>
      <w:r>
        <w:t xml:space="preserve">Zaznacz tak, jeśli masz pisemną strategię wyjścia: jak długo trwa uporządkowane przekazanie, jakie dane i wiedza są przekazywane, do czego się zobowiązujesz w okresie przejściowym.</w:t>
      </w:r>
    </w:p>
    <w:p/>
    <w:p>
      <w:pPr>
        <w:pStyle w:val="Heading3"/>
      </w:pPr>
      <w:r>
        <w:rPr>
          <w:b/>
          <w:bCs/>
        </w:rPr>
        <w:t xml:space="preserve">Dostarczamy SBOM-for-AI zgodnie z minimalnymi elementami G7</w:t>
      </w:r>
    </w:p>
    <w:p>
      <w:r>
        <w:rPr>
          <w:color w:val="666666"/>
          <w:sz w:val="18"/>
          <w:szCs w:val="18"/>
        </w:rPr>
        <w:t xml:space="preserve">[boolean]  Warunkowe  -  Podstawa prawna: NIS2 Art. 21(2)(d) / ENISA TIG §5.1.2</w:t>
      </w:r>
    </w:p>
    <w:p>
      <w:pPr>
        <w:jc w:val="both"/>
      </w:pPr>
      <w:r>
        <w:t xml:space="preserve">Opcjonalne. Zaznacz tak, jeśli możesz dostarczyć SBOM-for-AI zgodnie z minimalnymi elementami G7 (maj 2026). Dokumentuje metadane, modele, dane treningowe, infrastrukturę, właściwości bezpieczeństwa, KPI i zachowanie systemu. Standard dobrowolny.</w:t>
      </w:r>
    </w:p>
    <w:p/>
    <w:p>
      <w:pPr>
        <w:pStyle w:val="Heading3"/>
      </w:pPr>
      <w:r>
        <w:rPr>
          <w:b/>
          <w:bCs/>
        </w:rPr>
        <w:t xml:space="preserve">URL dokumentu SBOM-for-AI</w:t>
      </w:r>
    </w:p>
    <w:p>
      <w:r>
        <w:rPr>
          <w:color w:val="666666"/>
          <w:sz w:val="18"/>
          <w:szCs w:val="18"/>
        </w:rPr>
        <w:t xml:space="preserve">[url]  Warunkowe  -  Podstawa prawna: NIS2 Art. 21(2)(d) / ENISA TIG §5.1.2</w:t>
      </w:r>
    </w:p>
    <w:p>
      <w:pPr>
        <w:jc w:val="both"/>
      </w:pPr>
      <w:r>
        <w:t xml:space="preserve">Publiczny lub udostępniony URL do Twojego dokumentu SBOM-for-AI. Może to być plik PDF, plik JSON lub strona projektu.</w:t>
      </w:r>
    </w:p>
    <w:p/>
    <w:p>
      <w:pPr>
        <w:pStyle w:val="Heading1"/>
      </w:pPr>
      <w:r>
        <w:rPr>
          <w:b/>
          <w:bCs/>
        </w:rPr>
        <w:t xml:space="preserve">3. Specyficzne dla SaaS  (5 pól)</w:t>
      </w:r>
    </w:p>
    <w:p>
      <w:pPr>
        <w:pStyle w:val="Heading3"/>
      </w:pPr>
      <w:r>
        <w:rPr>
          <w:b/>
          <w:bCs/>
        </w:rPr>
        <w:t xml:space="preserve">Region hostingu</w:t>
      </w:r>
    </w:p>
    <w:p>
      <w:r>
        <w:rPr>
          <w:color w:val="666666"/>
          <w:sz w:val="18"/>
          <w:szCs w:val="18"/>
        </w:rPr>
        <w:t xml:space="preserve">[string]  Warunkowe  -  Podstawa prawna: ENISA TIG §5.2</w:t>
      </w:r>
    </w:p>
    <w:p>
      <w:pPr>
        <w:jc w:val="both"/>
      </w:pPr>
      <w:r>
        <w:t xml:space="preserve">Region chmury, w którym hostowane są dane klientów. Przykład: AWS eu-central-1, Azure West Europe. Podaj region główny; regiony zapasowe lub do tworzenia kopii zapasowych można dodać po przecinku.</w:t>
      </w:r>
    </w:p>
    <w:p/>
    <w:p>
      <w:pPr>
        <w:pStyle w:val="Heading3"/>
      </w:pPr>
      <w:r>
        <w:rPr>
          <w:b/>
          <w:bCs/>
        </w:rPr>
        <w:t xml:space="preserve">Szyfrowanie danych w spoczynku</w:t>
      </w:r>
    </w:p>
    <w:p>
      <w:r>
        <w:rPr>
          <w:color w:val="666666"/>
          <w:sz w:val="18"/>
          <w:szCs w:val="18"/>
        </w:rPr>
        <w:t xml:space="preserve">[boolean]  Warunkowe  -  Podstawa prawna: NIS2 Art. 21(2)(h) / ENISA TIG §9</w:t>
      </w:r>
    </w:p>
    <w:p>
      <w:pPr>
        <w:jc w:val="both"/>
      </w:pPr>
      <w:r>
        <w:t xml:space="preserve">Zaznacz tak, jeśli dane klientów na dysku są szyfrowane w spoczynku za pomocą AES-256 lub równoważnego standardu. Liczy się szyfrowanie dysków zarządzane przez chmurę (AWS EBS, Azure Disk Encryption).</w:t>
      </w:r>
    </w:p>
    <w:p/>
    <w:p>
      <w:pPr>
        <w:pStyle w:val="Heading3"/>
      </w:pPr>
      <w:r>
        <w:rPr>
          <w:b/>
          <w:bCs/>
        </w:rPr>
        <w:t xml:space="preserve">Szyfrowanie podczas przesyłania (TLS ≥ 1.2)</w:t>
      </w:r>
    </w:p>
    <w:p>
      <w:r>
        <w:rPr>
          <w:color w:val="666666"/>
          <w:sz w:val="18"/>
          <w:szCs w:val="18"/>
        </w:rPr>
        <w:t xml:space="preserve">[boolean]  Warunkowe  -  Podstawa prawna: NIS2 Art. 21(2)(h) / ENISA TIG §9</w:t>
      </w:r>
    </w:p>
    <w:p>
      <w:pPr>
        <w:jc w:val="both"/>
      </w:pPr>
      <w:r>
        <w:t xml:space="preserve">Zaznacz tak, jeśli wszystkie punkty końcowe dostępne dla klientów wymuszają TLS 1.2 lub wyższy. Preferowany jest TLS 1.3. Zwykły HTTP musi przekierowywać na HTTPS.</w:t>
      </w:r>
    </w:p>
    <w:p/>
    <w:p>
      <w:pPr>
        <w:pStyle w:val="Heading3"/>
      </w:pPr>
      <w:r>
        <w:rPr>
          <w:b/>
          <w:bCs/>
        </w:rPr>
        <w:t xml:space="preserve">MFA wymuszone dla wszystkich kont administracyjnych</w:t>
      </w:r>
    </w:p>
    <w:p>
      <w:r>
        <w:rPr>
          <w:color w:val="666666"/>
          <w:sz w:val="18"/>
          <w:szCs w:val="18"/>
        </w:rPr>
        <w:t xml:space="preserve">[boolean]  Warunkowe  -  Podstawa prawna: NIS2 Art. 21(2)(j) / ENISA TIG §11.3</w:t>
      </w:r>
    </w:p>
    <w:p>
      <w:pPr>
        <w:jc w:val="both"/>
      </w:pPr>
      <w:r>
        <w:t xml:space="preserve">Zaznacz tak, jeśli każde wewnętrzne konto administracyjne na platformie SaaS musi używać MFA. Ten sam standard co Twoja wewnętrzna polityka administracyjna.</w:t>
      </w:r>
    </w:p>
    <w:p/>
    <w:p>
      <w:pPr>
        <w:pStyle w:val="Heading3"/>
      </w:pPr>
      <w:r>
        <w:rPr>
          <w:b/>
          <w:bCs/>
        </w:rPr>
        <w:t xml:space="preserve">Docelowy czas przywrócenia (RTO) w godzinach</w:t>
      </w:r>
    </w:p>
    <w:p>
      <w:r>
        <w:rPr>
          <w:color w:val="666666"/>
          <w:sz w:val="18"/>
          <w:szCs w:val="18"/>
        </w:rPr>
        <w:t xml:space="preserve">[integer]  Warunkowe  -  Podstawa prawna: NIS2 Art. 21(2)(c) / ENISA TIG §4</w:t>
      </w:r>
    </w:p>
    <w:p>
      <w:pPr>
        <w:jc w:val="both"/>
      </w:pPr>
      <w:r>
        <w:t xml:space="preserve">Maksymalna liczba godzin, przez które Twoja usługa może być niedostępna przed przywróceniem. Realistyczna wartość SLA, a nie wartość docelowa. Typowe wartości SaaS: 4, 8 lub 24 godziny.</w:t>
      </w:r>
    </w:p>
    <w:p/>
    <w:p>
      <w:pPr>
        <w:pStyle w:val="Heading1"/>
      </w:pPr>
      <w:r>
        <w:rPr>
          <w:b/>
          <w:bCs/>
        </w:rPr>
        <w:t xml:space="preserve">4. Specyficzne dla On-Premise  (4 pól)</w:t>
      </w:r>
    </w:p>
    <w:p>
      <w:pPr>
        <w:pStyle w:val="Heading3"/>
      </w:pPr>
      <w:r>
        <w:rPr>
          <w:b/>
          <w:bCs/>
        </w:rPr>
        <w:t xml:space="preserve">Dostarczanie wykazu komponentów oprogramowania (SBOM)</w:t>
      </w:r>
    </w:p>
    <w:p>
      <w:r>
        <w:rPr>
          <w:color w:val="666666"/>
          <w:sz w:val="18"/>
          <w:szCs w:val="18"/>
        </w:rPr>
        <w:t xml:space="preserve">[boolean]  Warunkowe  -  Podstawa prawna: CRA / NIS2 Art. 21(2)(d)</w:t>
      </w:r>
    </w:p>
    <w:p>
      <w:pPr>
        <w:jc w:val="both"/>
      </w:pPr>
      <w:r>
        <w:t xml:space="preserve">Zaznacz tak, jeśli dostarczasz wykaz komponentów oprogramowania (SBOM) z każdym wydaniem. CycloneDX lub SPDX to formaty standardowe. Obowiązkowe na mocy Cyber Resilience Act dla produktów wprowadzanych na rynek UE od grudnia 2027 r.</w:t>
      </w:r>
    </w:p>
    <w:p/>
    <w:p>
      <w:pPr>
        <w:pStyle w:val="Heading3"/>
      </w:pPr>
      <w:r>
        <w:rPr>
          <w:b/>
          <w:bCs/>
        </w:rPr>
        <w:t xml:space="preserve">Wydania są podpisane kryptograficznie</w:t>
      </w:r>
    </w:p>
    <w:p>
      <w:r>
        <w:rPr>
          <w:color w:val="666666"/>
          <w:sz w:val="18"/>
          <w:szCs w:val="18"/>
        </w:rPr>
        <w:t xml:space="preserve">[boolean]  Warunkowe  -  Podstawa prawna: NIS2 Art. 21(2)(e) / ENISA TIG §6.5</w:t>
      </w:r>
    </w:p>
    <w:p>
      <w:pPr>
        <w:jc w:val="both"/>
      </w:pPr>
      <w:r>
        <w:t xml:space="preserve">Zaznacz tak, jeśli każdy artefakt wydania ma podpis kryptograficzny, który klienci mogą zweryfikować. Klucze podpisujące są udokumentowane i podlegają rotacji. Liczą się zarówno podpisy Sigstore, jak i PGP.</w:t>
      </w:r>
    </w:p>
    <w:p/>
    <w:p>
      <w:pPr>
        <w:pStyle w:val="Heading3"/>
      </w:pPr>
      <w:r>
        <w:rPr>
          <w:b/>
          <w:bCs/>
        </w:rPr>
        <w:t xml:space="preserve">Opublikowana polityka ujawniania podatności</w:t>
      </w:r>
    </w:p>
    <w:p>
      <w:r>
        <w:rPr>
          <w:color w:val="666666"/>
          <w:sz w:val="18"/>
          <w:szCs w:val="18"/>
        </w:rPr>
        <w:t xml:space="preserve">[boolean]  Warunkowe  -  Podstawa prawna: NIS2 Art. 21(2)(e) / ENISA TIG §3</w:t>
      </w:r>
    </w:p>
    <w:p>
      <w:pPr>
        <w:jc w:val="both"/>
      </w:pPr>
      <w:r>
        <w:t xml:space="preserve">Zaznacz tak, jeśli masz publicznie udokumentowany sposób zgłaszania podatności bezpieczeństwa. Wystarczy plik security.txt w Twojej domenie (zgodnie z RFC 9116) lub dedykowany adres e-mail, taki jak security@example.com.</w:t>
      </w:r>
    </w:p>
    <w:p/>
    <w:p>
      <w:pPr>
        <w:pStyle w:val="Heading3"/>
      </w:pPr>
      <w:r>
        <w:rPr>
          <w:b/>
          <w:bCs/>
        </w:rPr>
        <w:t xml:space="preserve">SLA poprawek dla krytycznych CVE (godziny)</w:t>
      </w:r>
    </w:p>
    <w:p>
      <w:r>
        <w:rPr>
          <w:color w:val="666666"/>
          <w:sz w:val="18"/>
          <w:szCs w:val="18"/>
        </w:rPr>
        <w:t xml:space="preserve">[integer]  Warunkowe  -  Podstawa prawna: CIR 2024/2690 §5.1.4(f)</w:t>
      </w:r>
    </w:p>
    <w:p>
      <w:pPr>
        <w:jc w:val="both"/>
      </w:pPr>
      <w:r>
        <w:t xml:space="preserve">Godziny od publicznego ujawnienia CVE do wydania z poprawką dla krytycznych podatności (CVSS 9.0+). Realistyczne zobowiązanie, a nie wartość docelowa. Typowe wartości: 24, 48 lub 72 godziny.</w:t>
      </w:r>
    </w:p>
    <w:p/>
    <w:p>
      <w:pPr>
        <w:pStyle w:val="Heading1"/>
      </w:pPr>
      <w:r>
        <w:rPr>
          <w:b/>
          <w:bCs/>
        </w:rPr>
        <w:t xml:space="preserve">5. Professional Services  (3 pól)</w:t>
      </w:r>
    </w:p>
    <w:p>
      <w:pPr>
        <w:pStyle w:val="Heading3"/>
      </w:pPr>
      <w:r>
        <w:rPr>
          <w:b/>
          <w:bCs/>
        </w:rPr>
        <w:t xml:space="preserve">Zakres weryfikacji przeszłości</w:t>
      </w:r>
    </w:p>
    <w:p>
      <w:r>
        <w:rPr>
          <w:color w:val="666666"/>
          <w:sz w:val="18"/>
          <w:szCs w:val="18"/>
        </w:rPr>
        <w:t xml:space="preserve">[string]  Warunkowe  -  Podstawa prawna: NIS2 Art. 21(2)(i) / CIR 2024/2690 §5.1.4(c)</w:t>
      </w:r>
    </w:p>
    <w:p>
      <w:pPr>
        <w:jc w:val="both"/>
      </w:pPr>
      <w:r>
        <w:t xml:space="preserve">Opisz, w jaki sposób weryfikujesz konsultantów do stanowisk wrażliwych. Przykład: wyciąg z rejestru karnego dla wszystkich konsultantów oraz sprawdzenie referencji w przypadku zleceń obejmujących dane niejawne.</w:t>
      </w:r>
    </w:p>
    <w:p/>
    <w:p>
      <w:pPr>
        <w:pStyle w:val="Heading3"/>
      </w:pPr>
      <w:r>
        <w:rPr>
          <w:b/>
          <w:bCs/>
        </w:rPr>
        <w:t xml:space="preserve">NDA zawarte ze wszystkimi konsultantami</w:t>
      </w:r>
    </w:p>
    <w:p>
      <w:r>
        <w:rPr>
          <w:color w:val="666666"/>
          <w:sz w:val="18"/>
          <w:szCs w:val="18"/>
        </w:rPr>
        <w:t xml:space="preserve">[boolean]  Warunkowe  -  Podstawa prawna: NIS2 Art. 21(2)(i) / ENISA TIG §11.4</w:t>
      </w:r>
    </w:p>
    <w:p>
      <w:pPr>
        <w:jc w:val="both"/>
      </w:pPr>
      <w:r>
        <w:t xml:space="preserve">Zaznacz tak, jeśli każdy konsultant podpisuje umowę o zachowaniu poufności przed przydzieleniem do pracy u klienta. Jako część umowy o pracę albo jako odrębne NDA.</w:t>
      </w:r>
    </w:p>
    <w:p/>
    <w:p>
      <w:pPr>
        <w:pStyle w:val="Heading3"/>
      </w:pPr>
      <w:r>
        <w:rPr>
          <w:b/>
          <w:bCs/>
        </w:rPr>
        <w:t xml:space="preserve">Udokumentowana polityka zachowania w siedzibie klienta</w:t>
      </w:r>
    </w:p>
    <w:p>
      <w:r>
        <w:rPr>
          <w:color w:val="666666"/>
          <w:sz w:val="18"/>
          <w:szCs w:val="18"/>
        </w:rPr>
        <w:t xml:space="preserve">[boolean]  Warunkowe  -  Podstawa prawna: NIS2 Art. 21(2)(i) / ENISA TIG §11.3</w:t>
      </w:r>
    </w:p>
    <w:p>
      <w:pPr>
        <w:jc w:val="both"/>
      </w:pPr>
      <w:r>
        <w:t xml:space="preserve">Zaznacz tak, jeśli masz pisemny kodeks postępowania dla konsultantów pracujących w siedzibie klienta: obsługa identyfikatorów, obowiązek blokowania ekranu, postępowanie w przypadku wyniesienia danych z lokalizacji.</w:t>
      </w:r>
    </w:p>
    <w:p/>
    <w:p>
      <w:pPr>
        <w:pStyle w:val="Heading1"/>
      </w:pPr>
      <w:r>
        <w:rPr>
          <w:b/>
          <w:bCs/>
        </w:rPr>
        <w:t xml:space="preserve">6. Managed Services  (3 pól)</w:t>
      </w:r>
    </w:p>
    <w:p>
      <w:pPr>
        <w:pStyle w:val="Heading3"/>
      </w:pPr>
      <w:r>
        <w:rPr>
          <w:b/>
          <w:bCs/>
        </w:rPr>
        <w:t xml:space="preserve">Wdrożone zarządzanie dostępem uprzywilejowanym (PAM)</w:t>
      </w:r>
    </w:p>
    <w:p>
      <w:r>
        <w:rPr>
          <w:color w:val="666666"/>
          <w:sz w:val="18"/>
          <w:szCs w:val="18"/>
        </w:rPr>
        <w:t xml:space="preserve">[boolean]  Warunkowe  -  Podstawa prawna: NIS2 Art. 21(2)(i) / ENISA TIG §11.3</w:t>
      </w:r>
    </w:p>
    <w:p>
      <w:pPr>
        <w:jc w:val="both"/>
      </w:pPr>
      <w:r>
        <w:t xml:space="preserve">Zaznacz tak, jeśli używasz narzędzia do zarządzania dostępem uprzywilejowanym dla administracyjnych sesji zdalnych w systemach klientów. Przykłady: CyberArk, BeyondTrust, Teleport. Konfiguracja jump-host z rejestrowaniem logów się liczy.</w:t>
      </w:r>
    </w:p>
    <w:p/>
    <w:p>
      <w:pPr>
        <w:pStyle w:val="Heading3"/>
      </w:pPr>
      <w:r>
        <w:rPr>
          <w:b/>
          <w:bCs/>
        </w:rPr>
        <w:t xml:space="preserve">Sesje administracyjne są rejestrowane</w:t>
      </w:r>
    </w:p>
    <w:p>
      <w:r>
        <w:rPr>
          <w:color w:val="666666"/>
          <w:sz w:val="18"/>
          <w:szCs w:val="18"/>
        </w:rPr>
        <w:t xml:space="preserve">[boolean]  Warunkowe  -  Podstawa prawna: NIS2 Art. 21(2)(f) / ENISA TIG §10</w:t>
      </w:r>
    </w:p>
    <w:p>
      <w:pPr>
        <w:jc w:val="both"/>
      </w:pPr>
      <w:r>
        <w:t xml:space="preserve">Zaznacz tak, jeśli sesje administracyjne w systemach klientów są rejestrowane i przechowywane do celów weryfikacji. Typowy okres przechowywania: od 90 dni do 1 roku. Niezbędne do rekonstrukcji forensycznej po incydentach.</w:t>
      </w:r>
    </w:p>
    <w:p/>
    <w:p>
      <w:pPr>
        <w:pStyle w:val="Heading3"/>
      </w:pPr>
      <w:r>
        <w:rPr>
          <w:b/>
          <w:bCs/>
        </w:rPr>
        <w:t xml:space="preserve">Dyżur 24/7</w:t>
      </w:r>
    </w:p>
    <w:p>
      <w:r>
        <w:rPr>
          <w:color w:val="666666"/>
          <w:sz w:val="18"/>
          <w:szCs w:val="18"/>
        </w:rPr>
        <w:t xml:space="preserve">[boolean]  Warunkowe  -  Podstawa prawna: NIS2 Art. 21(2)(b) / ENISA TIG §3</w:t>
      </w:r>
    </w:p>
    <w:p>
      <w:pPr>
        <w:jc w:val="both"/>
      </w:pPr>
      <w:r>
        <w:t xml:space="preserve">Zaznacz tak, jeśli prowadzisz dyżur 24/7, który reaguje na incydenty bezpieczeństwa w systemach klientów. Wsparcie wyłącznie w godzinach pracy nie spełnia tego wymogu.</w:t>
      </w:r>
    </w:p>
    <w:p/>
    <w:p>
      <w:r>
        <w:rPr>
          <w:color w:val="888888"/>
          <w:sz w:val="18"/>
          <w:szCs w:val="18"/>
        </w:rPr>
        <w:t xml:space="preserve">Licencja: MIT (schemat) + CC BY 4.0 (treść). Można swobodnie używać, forkować i adaptować.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dla dostawców NIS 2</dc:title>
  <dc:creator>NISD2</dc:creator>
  <dc:description>Otwarty, zakotwiczony w prawie UE kwestionariusz do oceny dostawców w ramach NIS 2</dc:description>
  <cp:lastModifiedBy>Un-named</cp:lastModifiedBy>
  <cp:revision>1</cp:revision>
  <dcterms:created xsi:type="dcterms:W3CDTF">2026-06-19T20:49:31.885Z</dcterms:created>
  <dcterms:modified xsi:type="dcterms:W3CDTF">2026-06-19T20:49:31.885Z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