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2026-10-04 - 53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(31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3"/>
      </w:pPr>
      <w:r>
        <w:rPr>
          <w:b/>
          <w:bCs/>
        </w:rPr>
        <w:t xml:space="preserve">Customers' personal data outside the European Economic Area</w:t>
      </w:r>
    </w:p>
    <w:p>
      <w:r>
        <w:rPr>
          <w:color w:val="666666"/>
          <w:sz w:val="18"/>
          <w:szCs w:val="18"/>
        </w:rPr>
        <w:t xml:space="preserve">[enum]  ·  Conditional  ·  Legal basis: GDPR Art. 44; Art. 45; Art. 46(2)(c); Art. 47</w:t>
      </w:r>
    </w:p>
    <w:p>
      <w:r>
        <w:rPr>
          <w:i/>
          <w:iCs/>
          <w:color w:val="666666"/>
          <w:sz w:val="18"/>
          <w:szCs w:val="18"/>
        </w:rPr>
        <w:t xml:space="preserve">Only if: Data processing agreement (Art. 28 GDPR) = Yes, we offer a standard DPA or Data processing agreement (Art. 28 GDPR) = No</w:t>
      </w:r>
    </w:p>
    <w:p>
      <w:pPr>
        <w:jc w:val="both"/>
      </w:pPr>
      <w:r>
        <w:t xml:space="preserve">Whether you or your sub-processors transfer customers' personal data to a country outside the EEA, and on which basis. A transfer needs one of the bases of Chapter V GDPR (Art. 44).</w:t>
      </w:r>
    </w:p>
    <w:p>
      <w:pPr>
        <w:pStyle w:val="ListParagraph"/>
        <w:numPr>
          <w:ilvl w:val="0"/>
          <w:numId w:val="1"/>
        </w:numPr>
      </w:pPr>
      <w:r>
        <w:t xml:space="preserve">No, it stays in the EEA</w:t>
      </w:r>
    </w:p>
    <w:p>
      <w:pPr>
        <w:pStyle w:val="ListParagraph"/>
        <w:numPr>
          <w:ilvl w:val="0"/>
          <w:numId w:val="1"/>
        </w:numPr>
      </w:pPr>
      <w:r>
        <w:t xml:space="preserve">Yes, only to countries with an adequacy decision of the European Commission (Art. 45)</w:t>
      </w:r>
    </w:p>
    <w:p>
      <w:pPr>
        <w:pStyle w:val="ListParagraph"/>
        <w:numPr>
          <w:ilvl w:val="0"/>
          <w:numId w:val="1"/>
        </w:numPr>
      </w:pPr>
      <w:r>
        <w:t xml:space="preserve">Yes, under the standard contractual clauses of the European Commission (Art. 46(2)(c))</w:t>
      </w:r>
    </w:p>
    <w:p>
      <w:pPr>
        <w:pStyle w:val="ListParagraph"/>
        <w:numPr>
          <w:ilvl w:val="0"/>
          <w:numId w:val="1"/>
        </w:numPr>
      </w:pPr>
      <w:r>
        <w:t xml:space="preserve">Yes, under binding corporate rules (Art. 47)</w:t>
      </w:r>
    </w:p>
    <w:p>
      <w:pPr>
        <w:pStyle w:val="ListParagraph"/>
        <w:numPr>
          <w:ilvl w:val="0"/>
          <w:numId w:val="1"/>
        </w:numPr>
      </w:pPr>
      <w:r>
        <w:t xml:space="preserve">Yes, on another basis</w:t>
      </w:r>
    </w:p>
    <w:p/>
    <w:p>
      <w:pPr>
        <w:pStyle w:val="Heading3"/>
      </w:pPr>
      <w:r>
        <w:rPr>
          <w:b/>
          <w:bCs/>
        </w:rPr>
        <w:t xml:space="preserve">How you engage sub-processors</w:t>
      </w:r>
    </w:p>
    <w:p>
      <w:r>
        <w:rPr>
          <w:color w:val="666666"/>
          <w:sz w:val="18"/>
          <w:szCs w:val="18"/>
        </w:rPr>
        <w:t xml:space="preserve">[enum]  ·  Conditional  ·  Legal basis: GDPR Art. 28(2)</w:t>
      </w:r>
    </w:p>
    <w:p>
      <w:r>
        <w:rPr>
          <w:i/>
          <w:iCs/>
          <w:color w:val="666666"/>
          <w:sz w:val="18"/>
          <w:szCs w:val="18"/>
        </w:rPr>
        <w:t xml:space="preserve">Only if: Data processing agreement (Art. 28 GDPR) = Yes, we offer a standard DPA or Data processing agreement (Art. 28 GDPR) = No</w:t>
      </w:r>
    </w:p>
    <w:p>
      <w:pPr>
        <w:jc w:val="both"/>
      </w:pPr>
      <w:r>
        <w:t xml:space="preserve">A processor engages another processor only with the customer's prior specific or general written authorisation. Under a general one, it tells the customer of any intended addition or replacement, so the customer can object (Art. 28(2) GDPR).</w:t>
      </w:r>
    </w:p>
    <w:p>
      <w:pPr>
        <w:pStyle w:val="ListParagraph"/>
        <w:numPr>
          <w:ilvl w:val="0"/>
          <w:numId w:val="1"/>
        </w:numPr>
      </w:pPr>
      <w:r>
        <w:t xml:space="preserve">General authorisation: we tell you before adding or replacing one, and you may object</w:t>
      </w:r>
    </w:p>
    <w:p>
      <w:pPr>
        <w:pStyle w:val="ListParagraph"/>
        <w:numPr>
          <w:ilvl w:val="0"/>
          <w:numId w:val="1"/>
        </w:numPr>
      </w:pPr>
      <w:r>
        <w:t xml:space="preserve">We ask for your specific authorisation for each one</w:t>
      </w:r>
    </w:p>
    <w:p>
      <w:pPr>
        <w:pStyle w:val="ListParagraph"/>
        <w:numPr>
          <w:ilvl w:val="0"/>
          <w:numId w:val="1"/>
        </w:numPr>
      </w:pPr>
      <w:r>
        <w:t xml:space="preserve">We engage no sub-processors for customers' personal data</w:t>
      </w:r>
    </w:p>
    <w:p/>
    <w:p>
      <w:pPr>
        <w:pStyle w:val="Heading3"/>
      </w:pPr>
      <w:r>
        <w:rPr>
          <w:b/>
          <w:bCs/>
        </w:rPr>
        <w:t xml:space="preserve">We notify you of a personal data breach without undue delay after becoming aware of it</w:t>
      </w:r>
    </w:p>
    <w:p>
      <w:r>
        <w:rPr>
          <w:color w:val="666666"/>
          <w:sz w:val="18"/>
          <w:szCs w:val="18"/>
        </w:rPr>
        <w:t xml:space="preserve">[boolean]  ·  Conditional  ·  Legal basis: GDPR Art. 33(2)</w:t>
      </w:r>
    </w:p>
    <w:p>
      <w:r>
        <w:rPr>
          <w:i/>
          <w:iCs/>
          <w:color w:val="666666"/>
          <w:sz w:val="18"/>
          <w:szCs w:val="18"/>
        </w:rPr>
        <w:t xml:space="preserve">Only if: Data processing agreement (Art. 28 GDPR) = Yes, we offer a standard DPA or Data processing agreement (Art. 28 GDPR) = No</w:t>
      </w:r>
    </w:p>
    <w:p>
      <w:pPr>
        <w:jc w:val="both"/>
      </w:pPr>
      <w:r>
        <w:t xml:space="preserve">A processor owes this to the controller (Art. 33(2) GDPR). The controller needs it to meet its own duty to notify the supervisory authority (Art. 33(1)).</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2026-11-03T08:46:52.625Z</dcterms:created>
  <dcterms:modified xsi:type="dcterms:W3CDTF">2026-11-03T08:46:52.625Z</dcterms:modified>
</cp:coreProperties>
</file>

<file path=docProps/custom.xml><?xml version="1.0" encoding="utf-8"?>
<Properties xmlns="http://schemas.openxmlformats.org/officeDocument/2006/custom-properties" xmlns:vt="http://schemas.openxmlformats.org/officeDocument/2006/docPropsVTypes"/>
</file>