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NIS 2 Supplier Questionnaire</w:t>
      </w:r>
    </w:p>
    <w:p>
      <w:r>
        <w:rPr>
          <w:i/>
          <w:iCs/>
        </w:rPr>
        <w:t xml:space="preserve">An open, EU-anchored questionnaire for NIS 2 supplier due diligence</w:t>
      </w:r>
    </w:p>
    <w:p>
      <w:r>
        <w:rPr>
          <w:color w:val="666666"/>
          <w:sz w:val="18"/>
          <w:szCs w:val="18"/>
        </w:rPr>
        <w:t xml:space="preserve">Version 3.1.0 - Last updated 2026-05-15 - 59 fields across 6 sections</w:t>
      </w:r>
    </w:p>
    <w:p/>
    <w:p>
      <w:pPr>
        <w:jc w:val="both"/>
      </w:pPr>
      <w:r>
        <w:t xml:space="preserve">Every field is anchored to an EU-level primary source: NIS 2 Art. 21(2), CIR 2024/2690, ENISA Technical Implementation Guidance, GDPR Art. 28, or the Cyber Resilience Act. Sector overlays (TISAX, VDA ISA, BSI C5, KRITIS) sit on top of this baseline.</w:t>
      </w:r>
    </w:p>
    <w:p>
      <w:r>
        <w:rPr>
          <w:color w:val="666666"/>
          <w:sz w:val="18"/>
          <w:szCs w:val="18"/>
        </w:rPr>
        <w:t xml:space="preserve">Source: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Supplier Profile  (18 fields)</w:t>
      </w:r>
    </w:p>
    <w:p>
      <w:pPr>
        <w:pStyle w:val="Heading3"/>
      </w:pPr>
      <w:r>
        <w:rPr>
          <w:b/>
          <w:bCs/>
        </w:rPr>
        <w:t xml:space="preserve">Legal name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Your company's registered name, as it appears in the commercial register. Example: Müller GmbH or Acme Software Ltd.</w:t>
      </w:r>
    </w:p>
    <w:p/>
    <w:p>
      <w:pPr>
        <w:pStyle w:val="Heading3"/>
      </w:pPr>
      <w:r>
        <w:rPr>
          <w:b/>
          <w:bCs/>
        </w:rPr>
        <w:t xml:space="preserve">Registered address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Your company's registered business address. One address is enough, even if you have several locations.</w:t>
      </w:r>
    </w:p>
    <w:p/>
    <w:p>
      <w:pPr>
        <w:pStyle w:val="Heading3"/>
      </w:pPr>
      <w:r>
        <w:rPr>
          <w:b/>
          <w:bCs/>
        </w:rPr>
        <w:t xml:space="preserve">Country</w:t>
      </w:r>
    </w:p>
    <w:p>
      <w:r>
        <w:rPr>
          <w:color w:val="666666"/>
          <w:sz w:val="18"/>
          <w:szCs w:val="18"/>
        </w:rPr>
        <w:t xml:space="preserve">[country]  Required  -  Legal basis: ENISA TIG §5.2</w:t>
      </w:r>
    </w:p>
    <w:p>
      <w:pPr>
        <w:jc w:val="both"/>
      </w:pPr>
      <w:r>
        <w:t xml:space="preserve">The country where your company is legally established. Two letters, e.g. DE for Germany.</w:t>
      </w:r>
    </w:p>
    <w:p/>
    <w:p>
      <w:pPr>
        <w:pStyle w:val="Heading3"/>
      </w:pPr>
      <w:r>
        <w:rPr>
          <w:b/>
          <w:bCs/>
        </w:rPr>
        <w:t xml:space="preserve">Primary domain</w:t>
      </w:r>
    </w:p>
    <w:p>
      <w:r>
        <w:rPr>
          <w:color w:val="666666"/>
          <w:sz w:val="18"/>
          <w:szCs w:val="18"/>
        </w:rPr>
        <w:t xml:space="preserve">[url]  Optional  -  Legal basis: ENISA TIG §5.2(b)</w:t>
      </w:r>
    </w:p>
    <w:p>
      <w:pPr>
        <w:jc w:val="both"/>
      </w:pPr>
      <w:r>
        <w:t xml:space="preserve">Your main domain, usually the URL of your website. Example: acmesoftware.com.</w:t>
      </w:r>
    </w:p>
    <w:p/>
    <w:p>
      <w:pPr>
        <w:pStyle w:val="Heading3"/>
      </w:pPr>
      <w:r>
        <w:rPr>
          <w:b/>
          <w:bCs/>
        </w:rPr>
        <w:t xml:space="preserve">Tagline (one line, customer-facing)</w:t>
      </w:r>
    </w:p>
    <w:p>
      <w:r>
        <w:rPr>
          <w:color w:val="666666"/>
          <w:sz w:val="18"/>
          <w:szCs w:val="18"/>
        </w:rPr>
        <w:t xml:space="preserve">[string]  Optional  -  Legal basis: ENISA TIG §5.2(b)</w:t>
      </w:r>
    </w:p>
    <w:p>
      <w:pPr>
        <w:jc w:val="both"/>
      </w:pPr>
      <w:r>
        <w:t xml:space="preserve">One line summarising what you offer. Customers see this on your supplier profile. Example: ERP for SME manufacturing.</w:t>
      </w:r>
    </w:p>
    <w:p/>
    <w:p>
      <w:pPr>
        <w:pStyle w:val="Heading3"/>
      </w:pPr>
      <w:r>
        <w:rPr>
          <w:b/>
          <w:bCs/>
        </w:rPr>
        <w:t xml:space="preserve">Public description (longer)</w:t>
      </w:r>
    </w:p>
    <w:p>
      <w:r>
        <w:rPr>
          <w:color w:val="666666"/>
          <w:sz w:val="18"/>
          <w:szCs w:val="18"/>
        </w:rPr>
        <w:t xml:space="preserve">[text]  Optional  -  Legal basis: ENISA TIG §5.2(b)</w:t>
      </w:r>
    </w:p>
    <w:p>
      <w:pPr>
        <w:jc w:val="both"/>
      </w:pPr>
      <w:r>
        <w:t xml:space="preserve">Two to three sentences about your company and what you do. This appears on your supplier profile. Sales pitch, security posture, or both.</w:t>
      </w:r>
    </w:p>
    <w:p/>
    <w:p>
      <w:pPr>
        <w:pStyle w:val="Heading3"/>
      </w:pPr>
      <w:r>
        <w:rPr>
          <w:b/>
          <w:bCs/>
        </w:rPr>
        <w:t xml:space="preserve">Description of services provided</w:t>
      </w:r>
    </w:p>
    <w:p>
      <w:r>
        <w:rPr>
          <w:color w:val="666666"/>
          <w:sz w:val="18"/>
          <w:szCs w:val="18"/>
        </w:rPr>
        <w:t xml:space="preserve">[text]  Required  -  Legal basis: ENISA TIG §5.2(b) + §5.1.4 TIPS</w:t>
      </w:r>
    </w:p>
    <w:p>
      <w:pPr>
        <w:jc w:val="both"/>
      </w:pPr>
      <w:r>
        <w:t xml:space="preserve">One paragraph on what your company technically delivers to customers. Concrete products, modules, or services. Avoid pure marketing language.</w:t>
      </w:r>
    </w:p>
    <w:p/>
    <w:p>
      <w:pPr>
        <w:pStyle w:val="Heading3"/>
      </w:pPr>
      <w:r>
        <w:rPr>
          <w:b/>
          <w:bCs/>
        </w:rPr>
        <w:t xml:space="preserve">Countries / regions where customer data is processed</w:t>
      </w:r>
    </w:p>
    <w:p>
      <w:r>
        <w:rPr>
          <w:color w:val="666666"/>
          <w:sz w:val="18"/>
          <w:szCs w:val="18"/>
        </w:rPr>
        <w:t xml:space="preserve">[string]  Required  -  Legal basis: ENISA TIG §5.1.4 TIPS</w:t>
      </w:r>
    </w:p>
    <w:p>
      <w:pPr>
        <w:jc w:val="both"/>
      </w:pPr>
      <w:r>
        <w:t xml:space="preserve">Every country where your customers' data is stored or processed. Comma-separated, ISO country codes. Example: DE, NL, US. If you process entirely within the EU, listing the EU countries is enough.</w:t>
      </w:r>
    </w:p>
    <w:p/>
    <w:p>
      <w:pPr>
        <w:pStyle w:val="Heading3"/>
      </w:pPr>
      <w:r>
        <w:rPr>
          <w:b/>
          <w:bCs/>
        </w:rPr>
        <w:t xml:space="preserve">Security contact name</w:t>
      </w:r>
    </w:p>
    <w:p>
      <w:r>
        <w:rPr>
          <w:color w:val="666666"/>
          <w:sz w:val="18"/>
          <w:szCs w:val="18"/>
        </w:rPr>
        <w:t xml:space="preserve">[string]  Required  -  Legal basis: CIR 2024/2690 §5.1.4(d)</w:t>
      </w:r>
    </w:p>
    <w:p>
      <w:pPr>
        <w:jc w:val="both"/>
      </w:pPr>
      <w:r>
        <w:t xml:space="preserve">Who customers contact when a security incident hits. In smaller companies often the managing director or IT lead. One person is enough.</w:t>
      </w:r>
    </w:p>
    <w:p/>
    <w:p>
      <w:pPr>
        <w:pStyle w:val="Heading3"/>
      </w:pPr>
      <w:r>
        <w:rPr>
          <w:b/>
          <w:bCs/>
        </w:rPr>
        <w:t xml:space="preserve">Incident contact email</w:t>
      </w:r>
    </w:p>
    <w:p>
      <w:r>
        <w:rPr>
          <w:color w:val="666666"/>
          <w:sz w:val="18"/>
          <w:szCs w:val="18"/>
        </w:rPr>
        <w:t xml:space="preserve">[email]  Required  -  Legal basis: CIR 2024/2690 §5.1.4(d)</w:t>
      </w:r>
    </w:p>
    <w:p>
      <w:pPr>
        <w:jc w:val="both"/>
      </w:pPr>
      <w:r>
        <w:t xml:space="preserve">Email address customers use to report a security incident. Ideally a distribution list like security@example.com that reaches multiple people.</w:t>
      </w:r>
    </w:p>
    <w:p/>
    <w:p>
      <w:pPr>
        <w:pStyle w:val="Heading3"/>
      </w:pPr>
      <w:r>
        <w:rPr>
          <w:b/>
          <w:bCs/>
        </w:rPr>
        <w:t xml:space="preserve">Incident contact phone (24/7)</w:t>
      </w:r>
    </w:p>
    <w:p>
      <w:r>
        <w:rPr>
          <w:color w:val="666666"/>
          <w:sz w:val="18"/>
          <w:szCs w:val="18"/>
        </w:rPr>
        <w:t xml:space="preserve">[phone]  Optional  -  Legal basis: CIR 2024/2690 §5.1.4(d)</w:t>
      </w:r>
    </w:p>
    <w:p>
      <w:pPr>
        <w:jc w:val="both"/>
      </w:pPr>
      <w:r>
        <w:t xml:space="preserve">Phone number for urgent incident reports. If you do not run 24/7 on-call, mention your business hours in brackets.</w:t>
      </w:r>
    </w:p>
    <w:p/>
    <w:p>
      <w:pPr>
        <w:pStyle w:val="Heading3"/>
      </w:pPr>
      <w:r>
        <w:rPr>
          <w:b/>
          <w:bCs/>
        </w:rPr>
        <w:t xml:space="preserve">Incident notification SLA (hours)</w:t>
      </w:r>
    </w:p>
    <w:p>
      <w:r>
        <w:rPr>
          <w:color w:val="666666"/>
          <w:sz w:val="18"/>
          <w:szCs w:val="18"/>
        </w:rPr>
        <w:t xml:space="preserve">[integer]  Optional  -  Legal basis: NIS2 Art. 23</w:t>
      </w:r>
    </w:p>
    <w:p>
      <w:pPr>
        <w:jc w:val="both"/>
      </w:pPr>
      <w:r>
        <w:t xml:space="preserve">Hours from incident detection to customer notification, at the latest. Realistic self-assessment, not aspirational. Common values: 24, 48, or 72 hours.</w:t>
      </w:r>
    </w:p>
    <w:p/>
    <w:p>
      <w:pPr>
        <w:pStyle w:val="Heading3"/>
      </w:pPr>
      <w:r>
        <w:rPr>
          <w:b/>
          <w:bCs/>
        </w:rPr>
        <w:t xml:space="preserve">BSI registration ID (only if your company is itself NIS2-regulated)</w:t>
      </w:r>
    </w:p>
    <w:p>
      <w:r>
        <w:rPr>
          <w:color w:val="666666"/>
          <w:sz w:val="18"/>
          <w:szCs w:val="18"/>
        </w:rPr>
        <w:t xml:space="preserve">[string]  Optional  -  Legal basis: ENISA TIG §5.1.2</w:t>
      </w:r>
    </w:p>
    <w:p>
      <w:pPr>
        <w:jc w:val="both"/>
      </w:pPr>
      <w:r>
        <w:t xml:space="preserve">If your company is itself NIS 2 regulated and registered with the BSI, enter the registration ID here. Optional. Lets customers see at a glance that you meet the same obligation as a regulated entity.</w:t>
      </w:r>
    </w:p>
    <w:p/>
    <w:p>
      <w:pPr>
        <w:pStyle w:val="Heading3"/>
      </w:pPr>
      <w:r>
        <w:rPr>
          <w:b/>
          <w:bCs/>
        </w:rPr>
        <w:t xml:space="preserve">We provide SaaS / hosted services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run software for customers on your own infrastructure and deliver it over the internet. Tick more than one box if you offer several models.</w:t>
      </w:r>
    </w:p>
    <w:p/>
    <w:p>
      <w:pPr>
        <w:pStyle w:val="Heading3"/>
      </w:pPr>
      <w:r>
        <w:rPr>
          <w:b/>
          <w:bCs/>
        </w:rPr>
        <w:t xml:space="preserve">We deliver on-prem software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deliver software that customers install and run on their own infrastructure.</w:t>
      </w:r>
    </w:p>
    <w:p/>
    <w:p>
      <w:pPr>
        <w:pStyle w:val="Heading3"/>
      </w:pPr>
      <w:r>
        <w:rPr>
          <w:b/>
          <w:bCs/>
        </w:rPr>
        <w:t xml:space="preserve">We provide professional services / consulting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Your main deliverable is human work: consulting, implementation, training, audit, or customisation.</w:t>
      </w:r>
    </w:p>
    <w:p/>
    <w:p>
      <w:pPr>
        <w:pStyle w:val="Heading3"/>
      </w:pPr>
      <w:r>
        <w:rPr>
          <w:b/>
          <w:bCs/>
        </w:rPr>
        <w:t xml:space="preserve">We provide managed services / MSP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operate parts of your customer's IT for them, with your own staff. Typical for MSP and MSSP models.</w:t>
      </w:r>
    </w:p>
    <w:p/>
    <w:p>
      <w:pPr>
        <w:pStyle w:val="Heading3"/>
      </w:pPr>
      <w:r>
        <w:rPr>
          <w:b/>
          <w:bCs/>
        </w:rPr>
        <w:t xml:space="preserve">We use, integrate or provide AI systems</w:t>
      </w:r>
    </w:p>
    <w:p>
      <w:r>
        <w:rPr>
          <w:color w:val="666666"/>
          <w:sz w:val="18"/>
          <w:szCs w:val="18"/>
        </w:rPr>
        <w:t xml:space="preserve">[boolean]  Required  -  Legal basis: NIS2 Art. 21(2)(d)</w:t>
      </w:r>
    </w:p>
    <w:p>
      <w:pPr>
        <w:jc w:val="both"/>
      </w:pPr>
      <w:r>
        <w:t xml:space="preserve">Do your products or services process customer data through an AI or ML model? Includes external models you call through an API, for example OpenAI or Anthropic.</w:t>
      </w:r>
    </w:p>
    <w:p/>
    <w:p>
      <w:pPr>
        <w:pStyle w:val="Heading1"/>
      </w:pPr>
      <w:r>
        <w:rPr>
          <w:b/>
          <w:bCs/>
        </w:rPr>
        <w:t xml:space="preserve">2. Security Practices  (26 fields)</w:t>
      </w:r>
    </w:p>
    <w:p>
      <w:pPr>
        <w:pStyle w:val="Heading3"/>
      </w:pPr>
      <w:r>
        <w:rPr>
          <w:b/>
          <w:bCs/>
        </w:rPr>
        <w:t xml:space="preserve">Documented Information Security Management System (ISMS)</w:t>
      </w:r>
    </w:p>
    <w:p>
      <w:r>
        <w:rPr>
          <w:color w:val="666666"/>
          <w:sz w:val="18"/>
          <w:szCs w:val="18"/>
        </w:rPr>
        <w:t xml:space="preserve">[boolean]  Required  -  Legal basis: CIR 2024/2690 §5.1.2(a)</w:t>
      </w:r>
    </w:p>
    <w:p>
      <w:pPr>
        <w:jc w:val="both"/>
      </w:pPr>
      <w:r>
        <w:t xml:space="preserve">Tick yes if you have a written information security policy with assigned roles, regular reviews, and documented incident handling. ISO 27001 or BSI Grundschutz certification implies yes.</w:t>
      </w:r>
    </w:p>
    <w:p/>
    <w:p>
      <w:pPr>
        <w:pStyle w:val="Heading3"/>
      </w:pPr>
      <w:r>
        <w:rPr>
          <w:b/>
          <w:bCs/>
        </w:rPr>
        <w:t xml:space="preserve">Hold ISO 27001, BSI Grundschutz, or equivalent certification</w:t>
      </w:r>
    </w:p>
    <w:p>
      <w:r>
        <w:rPr>
          <w:color w:val="666666"/>
          <w:sz w:val="18"/>
          <w:szCs w:val="18"/>
        </w:rPr>
        <w:t xml:space="preserve">[boolean]  Required  -  Legal basis: CIR 2024/2690 §5.1.2(b)</w:t>
      </w:r>
    </w:p>
    <w:p>
      <w:pPr>
        <w:jc w:val="both"/>
      </w:pPr>
      <w:r>
        <w:t xml:space="preserve">Tick yes if your company currently holds an ISO 27001, BSI Grundschutz, SOC 2 Type II, or equivalent certification. Upload the certificate in the Certifications tab.</w:t>
      </w:r>
    </w:p>
    <w:p/>
    <w:p>
      <w:pPr>
        <w:pStyle w:val="Heading3"/>
      </w:pPr>
      <w:r>
        <w:rPr>
          <w:b/>
          <w:bCs/>
        </w:rPr>
        <w:t xml:space="preserve">Annual security awareness training for all staff</w:t>
      </w:r>
    </w:p>
    <w:p>
      <w:r>
        <w:rPr>
          <w:color w:val="666666"/>
          <w:sz w:val="18"/>
          <w:szCs w:val="18"/>
        </w:rPr>
        <w:t xml:space="preserve">[boolean]  Required  -  Legal basis: CIR 2024/2690 §5.1.4(b)</w:t>
      </w:r>
    </w:p>
    <w:p>
      <w:pPr>
        <w:jc w:val="both"/>
      </w:pPr>
      <w:r>
        <w:t xml:space="preserve">Tick yes if every staff member receives at least one annual information-security awareness training. E-learning counts; phishing simulations add to it.</w:t>
      </w:r>
    </w:p>
    <w:p/>
    <w:p>
      <w:pPr>
        <w:pStyle w:val="Heading3"/>
      </w:pPr>
      <w:r>
        <w:rPr>
          <w:b/>
          <w:bCs/>
        </w:rPr>
        <w:t xml:space="preserve">Background checks on staff with customer data access</w:t>
      </w:r>
    </w:p>
    <w:p>
      <w:r>
        <w:rPr>
          <w:color w:val="666666"/>
          <w:sz w:val="18"/>
          <w:szCs w:val="18"/>
        </w:rPr>
        <w:t xml:space="preserve">[boolean]  Required  -  Legal basis: CIR 2024/2690 §5.1.4(c)</w:t>
      </w:r>
    </w:p>
    <w:p>
      <w:pPr>
        <w:jc w:val="both"/>
      </w:pPr>
      <w:r>
        <w:t xml:space="preserve">Tick yes if you run a background check for staff with access to customer data. Common bar: a criminal record extract or equivalent document on hire.</w:t>
      </w:r>
    </w:p>
    <w:p/>
    <w:p>
      <w:pPr>
        <w:pStyle w:val="Heading3"/>
      </w:pPr>
      <w:r>
        <w:rPr>
          <w:b/>
          <w:bCs/>
        </w:rPr>
        <w:t xml:space="preserve">Documented vulnerability handling and patching process</w:t>
      </w:r>
    </w:p>
    <w:p>
      <w:r>
        <w:rPr>
          <w:color w:val="666666"/>
          <w:sz w:val="18"/>
          <w:szCs w:val="18"/>
        </w:rPr>
        <w:t xml:space="preserve">[boolean]  Required  -  Legal basis: CIR 2024/2690 §5.1.4(f)</w:t>
      </w:r>
    </w:p>
    <w:p>
      <w:pPr>
        <w:jc w:val="both"/>
      </w:pPr>
      <w:r>
        <w:t xml:space="preserve">Tick yes if you have a written process for handling security vulnerabilities: detect, assess, prioritise, patch or mitigate. CVE monitoring and SLA-driven patching are the standard.</w:t>
      </w:r>
    </w:p>
    <w:p/>
    <w:p>
      <w:pPr>
        <w:pStyle w:val="Heading3"/>
      </w:pPr>
      <w:r>
        <w:rPr>
          <w:b/>
          <w:bCs/>
        </w:rPr>
        <w:t xml:space="preserve">Accept customer right to audit (or provide audit reports)</w:t>
      </w:r>
    </w:p>
    <w:p>
      <w:r>
        <w:rPr>
          <w:color w:val="666666"/>
          <w:sz w:val="18"/>
          <w:szCs w:val="18"/>
        </w:rPr>
        <w:t xml:space="preserve">[boolean]  Required  -  Legal basis: CIR 2024/2690 §5.1.4(e)</w:t>
      </w:r>
    </w:p>
    <w:p>
      <w:pPr>
        <w:jc w:val="both"/>
      </w:pPr>
      <w:r>
        <w:t xml:space="preserve">Tick yes if you either grant customers an on-site audit right or provide substitute audit reports (for example SOC 2, ISAE 3402).</w:t>
      </w:r>
    </w:p>
    <w:p/>
    <w:p>
      <w:pPr>
        <w:pStyle w:val="Heading3"/>
      </w:pPr>
      <w:r>
        <w:rPr>
          <w:b/>
          <w:bCs/>
        </w:rPr>
        <w:t xml:space="preserve">Use subprocessors / sub-suppliers</w:t>
      </w:r>
    </w:p>
    <w:p>
      <w:r>
        <w:rPr>
          <w:color w:val="666666"/>
          <w:sz w:val="18"/>
          <w:szCs w:val="18"/>
        </w:rPr>
        <w:t xml:space="preserve">[boolean]  Required  -  Legal basis: CIR 2024/2690 §5.1.4(g)</w:t>
      </w:r>
    </w:p>
    <w:p>
      <w:pPr>
        <w:jc w:val="both"/>
      </w:pPr>
      <w:r>
        <w:t xml:space="preserve">Tick yes if you use other companies to deliver your service that have access to customer data or infrastructure. Typical examples: AWS, Azure, Cloudflare, Stripe.</w:t>
      </w:r>
    </w:p>
    <w:p/>
    <w:p>
      <w:pPr>
        <w:pStyle w:val="Heading3"/>
      </w:pPr>
      <w:r>
        <w:rPr>
          <w:b/>
          <w:bCs/>
        </w:rPr>
        <w:t xml:space="preserve">List of subprocessors</w:t>
      </w:r>
    </w:p>
    <w:p>
      <w:r>
        <w:rPr>
          <w:color w:val="666666"/>
          <w:sz w:val="18"/>
          <w:szCs w:val="18"/>
        </w:rPr>
        <w:t xml:space="preserve">[text]  Conditional  -  Legal basis: CIR 2024/2690 §5.1.4(g)</w:t>
      </w:r>
    </w:p>
    <w:p>
      <w:pPr>
        <w:jc w:val="both"/>
      </w:pPr>
      <w:r>
        <w:t xml:space="preserve">List every subprocessor with name, processing location, and what they do for you. A table or bullet list is enough. Update whenever you add or remove one.</w:t>
      </w:r>
    </w:p>
    <w:p/>
    <w:p>
      <w:pPr>
        <w:pStyle w:val="Heading3"/>
      </w:pPr>
      <w:r>
        <w:rPr>
          <w:b/>
          <w:bCs/>
        </w:rPr>
        <w:t xml:space="preserve">Commit to return / destroy customer data on termination</w:t>
      </w:r>
    </w:p>
    <w:p>
      <w:r>
        <w:rPr>
          <w:color w:val="666666"/>
          <w:sz w:val="18"/>
          <w:szCs w:val="18"/>
        </w:rPr>
        <w:t xml:space="preserve">[boolean]  Required  -  Legal basis: CIR 2024/2690 §5.1.4(h)</w:t>
      </w:r>
    </w:p>
    <w:p>
      <w:pPr>
        <w:jc w:val="both"/>
      </w:pPr>
      <w:r>
        <w:t xml:space="preserve">Tick yes if you contractually commit to returning or destroying customer data at the end of the contract. Common practice: export and return, then delete within 30 days.</w:t>
      </w:r>
    </w:p>
    <w:p/>
    <w:p>
      <w:pPr>
        <w:pStyle w:val="Heading3"/>
      </w:pPr>
      <w:r>
        <w:rPr>
          <w:b/>
          <w:bCs/>
        </w:rPr>
        <w:t xml:space="preserve">Standard data processing agreement (DPA) available</w:t>
      </w:r>
    </w:p>
    <w:p>
      <w:r>
        <w:rPr>
          <w:color w:val="666666"/>
          <w:sz w:val="18"/>
          <w:szCs w:val="18"/>
        </w:rPr>
        <w:t xml:space="preserve">[boolean]  Required  -  Legal basis: GDPR Art. 28</w:t>
      </w:r>
    </w:p>
    <w:p>
      <w:pPr>
        <w:jc w:val="both"/>
      </w:pPr>
      <w:r>
        <w:t xml:space="preserve">Tick yes if you have a standard data processing agreement under GDPR Article 28 that customers can sign. Required as soon as you process personal data.</w:t>
      </w:r>
    </w:p>
    <w:p/>
    <w:p>
      <w:pPr>
        <w:pStyle w:val="Heading3"/>
      </w:pPr>
      <w:r>
        <w:rPr>
          <w:b/>
          <w:bCs/>
        </w:rPr>
        <w:t xml:space="preserve">Security policies reviewed at least annually</w:t>
      </w:r>
    </w:p>
    <w:p>
      <w:r>
        <w:rPr>
          <w:color w:val="666666"/>
          <w:sz w:val="18"/>
          <w:szCs w:val="18"/>
        </w:rPr>
        <w:t xml:space="preserve">[boolean]  Required  -  Legal basis: NIS2 Art. 21(2)(a) / ENISA TIG §1.1</w:t>
      </w:r>
    </w:p>
    <w:p>
      <w:pPr>
        <w:jc w:val="both"/>
      </w:pPr>
      <w:r>
        <w:t xml:space="preserve">Tick yes if your security policies are reviewed at least once a year and updated as needed. A written note in the document is enough evidence.</w:t>
      </w:r>
    </w:p>
    <w:p/>
    <w:p>
      <w:pPr>
        <w:pStyle w:val="Heading3"/>
      </w:pPr>
      <w:r>
        <w:rPr>
          <w:b/>
          <w:bCs/>
        </w:rPr>
        <w:t xml:space="preserve">Documented incident response plan</w:t>
      </w:r>
    </w:p>
    <w:p>
      <w:r>
        <w:rPr>
          <w:color w:val="666666"/>
          <w:sz w:val="18"/>
          <w:szCs w:val="18"/>
        </w:rPr>
        <w:t xml:space="preserve">[boolean]  Required  -  Legal basis: NIS2 Art. 21(2)(b) / ENISA TIG §3</w:t>
      </w:r>
    </w:p>
    <w:p>
      <w:pPr>
        <w:jc w:val="both"/>
      </w:pPr>
      <w:r>
        <w:t xml:space="preserve">Tick yes if you have a written plan for handling security incidents: who decides, who communicates, who documents. At least one tabletop exercise per year is good practice.</w:t>
      </w:r>
    </w:p>
    <w:p/>
    <w:p>
      <w:pPr>
        <w:pStyle w:val="Heading3"/>
      </w:pPr>
      <w:r>
        <w:rPr>
          <w:b/>
          <w:bCs/>
        </w:rPr>
        <w:t xml:space="preserve">Documented business continuity / disaster recovery plan</w:t>
      </w:r>
    </w:p>
    <w:p>
      <w:r>
        <w:rPr>
          <w:color w:val="666666"/>
          <w:sz w:val="18"/>
          <w:szCs w:val="18"/>
        </w:rPr>
        <w:t xml:space="preserve">[boolean]  Required  -  Legal basis: NIS2 Art. 21(2)(c) / ENISA TIG §4</w:t>
      </w:r>
    </w:p>
    <w:p>
      <w:pPr>
        <w:jc w:val="both"/>
      </w:pPr>
      <w:r>
        <w:t xml:space="preserve">Tick yes if you have a plan that explains how you keep running or recover quickly during an outage: critical systems, fallbacks, RTO and RPO targets.</w:t>
      </w:r>
    </w:p>
    <w:p/>
    <w:p>
      <w:pPr>
        <w:pStyle w:val="Heading3"/>
      </w:pPr>
      <w:r>
        <w:rPr>
          <w:b/>
          <w:bCs/>
        </w:rPr>
        <w:t xml:space="preserve">Documented cryptography policy</w:t>
      </w:r>
    </w:p>
    <w:p>
      <w:r>
        <w:rPr>
          <w:color w:val="666666"/>
          <w:sz w:val="18"/>
          <w:szCs w:val="18"/>
        </w:rPr>
        <w:t xml:space="preserve">[boolean]  Required  -  Legal basis: NIS2 Art. 21(2)(h) / ENISA TIG §9</w:t>
      </w:r>
    </w:p>
    <w:p>
      <w:pPr>
        <w:jc w:val="both"/>
      </w:pPr>
      <w:r>
        <w:t xml:space="preserve">Tick yes if you have written down which cryptography you use where: data in transit (TLS 1.2+), data at rest (AES-256), key management, hashing algorithms.</w:t>
      </w:r>
    </w:p>
    <w:p/>
    <w:p>
      <w:pPr>
        <w:pStyle w:val="Heading3"/>
      </w:pPr>
      <w:r>
        <w:rPr>
          <w:b/>
          <w:bCs/>
        </w:rPr>
        <w:t xml:space="preserve">Privileged access management (PAM) for internal staff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§11.3</w:t>
      </w:r>
    </w:p>
    <w:p>
      <w:pPr>
        <w:jc w:val="both"/>
      </w:pPr>
      <w:r>
        <w:t xml:space="preserve">Tick yes if administrators and privileged accounts get extra controls: separate sign-in, MFA, session logging, or just-in-time access.</w:t>
      </w:r>
    </w:p>
    <w:p/>
    <w:p>
      <w:pPr>
        <w:pStyle w:val="Heading3"/>
      </w:pPr>
      <w:r>
        <w:rPr>
          <w:b/>
          <w:bCs/>
        </w:rPr>
        <w:t xml:space="preserve">MFA enforced for all internal admin / privileged accounts</w:t>
      </w:r>
    </w:p>
    <w:p>
      <w:r>
        <w:rPr>
          <w:color w:val="666666"/>
          <w:sz w:val="18"/>
          <w:szCs w:val="18"/>
        </w:rPr>
        <w:t xml:space="preserve">[boolean]  Required  -  Legal basis: NIS2 Art. 21(2)(j)</w:t>
      </w:r>
    </w:p>
    <w:p>
      <w:pPr>
        <w:jc w:val="both"/>
      </w:pPr>
      <w:r>
        <w:t xml:space="preserve">Tick yes if every internal admin or privileged account must use MFA. Hardware tokens or authenticator apps count; SMS does not.</w:t>
      </w:r>
    </w:p>
    <w:p/>
    <w:p>
      <w:pPr>
        <w:pStyle w:val="Heading3"/>
      </w:pPr>
      <w:r>
        <w:rPr>
          <w:b/>
          <w:bCs/>
        </w:rPr>
        <w:t xml:space="preserve">Maintain an inventory of information assets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§12.4</w:t>
      </w:r>
    </w:p>
    <w:p>
      <w:pPr>
        <w:jc w:val="both"/>
      </w:pPr>
      <w:r>
        <w:t xml:space="preserve">Tick yes if you keep a current list of every information system you use to deliver your service: servers, databases, SaaS tools, endpoints. A spreadsheet is enough.</w:t>
      </w:r>
    </w:p>
    <w:p/>
    <w:p>
      <w:pPr>
        <w:pStyle w:val="Heading3"/>
      </w:pPr>
      <w:r>
        <w:rPr>
          <w:b/>
          <w:bCs/>
        </w:rPr>
        <w:t xml:space="preserve">Annual or biennial penetration testing program</w:t>
      </w:r>
    </w:p>
    <w:p>
      <w:r>
        <w:rPr>
          <w:color w:val="666666"/>
          <w:sz w:val="18"/>
          <w:szCs w:val="18"/>
        </w:rPr>
        <w:t xml:space="preserve">[boolean]  Required  -  Legal basis: NIS2 Art. 21(2)(e) / ENISA TIG §6.5</w:t>
      </w:r>
    </w:p>
    <w:p>
      <w:pPr>
        <w:jc w:val="both"/>
      </w:pPr>
      <w:r>
        <w:t xml:space="preserve">Tick yes if you commission an external penetration test at least every one to two years. For smaller companies, an external vulnerability scan as a minimum step is acceptable.</w:t>
      </w:r>
    </w:p>
    <w:p/>
    <w:p>
      <w:pPr>
        <w:pStyle w:val="Heading3"/>
      </w:pPr>
      <w:r>
        <w:rPr>
          <w:b/>
          <w:bCs/>
        </w:rPr>
        <w:t xml:space="preserve">We disclose past notifiable cybersecurity events when asked by customers</w:t>
      </w:r>
    </w:p>
    <w:p>
      <w:r>
        <w:rPr>
          <w:color w:val="666666"/>
          <w:sz w:val="18"/>
          <w:szCs w:val="18"/>
        </w:rPr>
        <w:t xml:space="preserve">[boolean]  Required  -  Legal basis: ENISA TIG §5.1.2</w:t>
      </w:r>
    </w:p>
    <w:p>
      <w:pPr>
        <w:jc w:val="both"/>
      </w:pPr>
      <w:r>
        <w:t xml:space="preserve">Tick yes if, on customer request, you openly disclose whether and which reportable security incidents your company had in the past. Common window: the last three to five years.</w:t>
      </w:r>
    </w:p>
    <w:p/>
    <w:p>
      <w:pPr>
        <w:pStyle w:val="Heading3"/>
      </w:pPr>
      <w:r>
        <w:rPr>
          <w:b/>
          <w:bCs/>
        </w:rPr>
        <w:t xml:space="preserve">Provide incident assistance to customers at no / ex-ante cost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helping customers at no extra cost when an incident is caused by your product or service. If you agree a pre-defined day rate up front instead, also tick yes.</w:t>
      </w:r>
    </w:p>
    <w:p/>
    <w:p>
      <w:pPr>
        <w:pStyle w:val="Heading3"/>
      </w:pPr>
      <w:r>
        <w:rPr>
          <w:b/>
          <w:bCs/>
        </w:rPr>
        <w:t xml:space="preserve">Fully cooperate with competent authorities (BSI, ENISA, national CSIRTs)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fully cooperating with competent authorities like BSI, ENISA, or national CSIRTs during inspections, audits, and incident handling. Standard for serious suppliers.</w:t>
      </w:r>
    </w:p>
    <w:p/>
    <w:p>
      <w:pPr>
        <w:pStyle w:val="Heading3"/>
      </w:pPr>
      <w:r>
        <w:rPr>
          <w:b/>
          <w:bCs/>
        </w:rPr>
        <w:t xml:space="preserve">Notify customers of any material change affecting service delivery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notifying customers of any material change affecting your ability to deliver: acquisitions, subprocessor changes, major technical shifts.</w:t>
      </w:r>
    </w:p>
    <w:p/>
    <w:p>
      <w:pPr>
        <w:pStyle w:val="Heading3"/>
      </w:pPr>
      <w:r>
        <w:rPr>
          <w:b/>
          <w:bCs/>
        </w:rPr>
        <w:t xml:space="preserve">Notify customers in advance if data-processing locations change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notify customers in advance before the processing location of their data changes. Important for data protection and for GDPR-compliant supply chain oversight.</w:t>
      </w:r>
    </w:p>
    <w:p/>
    <w:p>
      <w:pPr>
        <w:pStyle w:val="Heading3"/>
      </w:pPr>
      <w:r>
        <w:rPr>
          <w:b/>
          <w:bCs/>
        </w:rPr>
        <w:t xml:space="preserve">Documented exit strategy with mandatory transition period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have a written exit strategy: how long an orderly handover takes, what data and knowledge gets transferred, what you commit to during the transition.</w:t>
      </w:r>
    </w:p>
    <w:p/>
    <w:p>
      <w:pPr>
        <w:pStyle w:val="Heading3"/>
      </w:pPr>
      <w:r>
        <w:rPr>
          <w:b/>
          <w:bCs/>
        </w:rPr>
        <w:t xml:space="preserve">Provide an SBOM-for-AI per G7 minimum elements</w:t>
      </w:r>
    </w:p>
    <w:p>
      <w:r>
        <w:rPr>
          <w:color w:val="666666"/>
          <w:sz w:val="18"/>
          <w:szCs w:val="18"/>
        </w:rPr>
        <w:t xml:space="preserve">[boolean]  Conditional  -  Legal basis: NIS2 Art. 21(2)(d) / ENISA TIG §5.1.2</w:t>
      </w:r>
    </w:p>
    <w:p>
      <w:pPr>
        <w:jc w:val="both"/>
      </w:pPr>
      <w:r>
        <w:t xml:space="preserve">Optional. Tick yes if you can provide an SBOM-for-AI per the G7 minimum elements (May 2026). Documents metadata, models, training data, infrastructure, security properties, KPIs, and system behaviour. Voluntary standard.</w:t>
      </w:r>
    </w:p>
    <w:p/>
    <w:p>
      <w:pPr>
        <w:pStyle w:val="Heading3"/>
      </w:pPr>
      <w:r>
        <w:rPr>
          <w:b/>
          <w:bCs/>
        </w:rPr>
        <w:t xml:space="preserve">SBOM-for-AI document URL</w:t>
      </w:r>
    </w:p>
    <w:p>
      <w:r>
        <w:rPr>
          <w:color w:val="666666"/>
          <w:sz w:val="18"/>
          <w:szCs w:val="18"/>
        </w:rPr>
        <w:t xml:space="preserve">[url]  Conditional  -  Legal basis: NIS2 Art. 21(2)(d) / ENISA TIG §5.1.2</w:t>
      </w:r>
    </w:p>
    <w:p>
      <w:pPr>
        <w:jc w:val="both"/>
      </w:pPr>
      <w:r>
        <w:t xml:space="preserve">Public or shared URL to your SBOM-for-AI document. Can be a PDF, a JSON file, or a project page.</w:t>
      </w:r>
    </w:p>
    <w:p/>
    <w:p>
      <w:pPr>
        <w:pStyle w:val="Heading1"/>
      </w:pPr>
      <w:r>
        <w:rPr>
          <w:b/>
          <w:bCs/>
        </w:rPr>
        <w:t xml:space="preserve">3. SaaS-specific  (5 fields)</w:t>
      </w:r>
    </w:p>
    <w:p>
      <w:pPr>
        <w:pStyle w:val="Heading3"/>
      </w:pPr>
      <w:r>
        <w:rPr>
          <w:b/>
          <w:bCs/>
        </w:rPr>
        <w:t xml:space="preserve">Hosting region</w:t>
      </w:r>
    </w:p>
    <w:p>
      <w:r>
        <w:rPr>
          <w:color w:val="666666"/>
          <w:sz w:val="18"/>
          <w:szCs w:val="18"/>
        </w:rPr>
        <w:t xml:space="preserve">[string]  Conditional  -  Legal basis: ENISA TIG §5.2</w:t>
      </w:r>
    </w:p>
    <w:p>
      <w:pPr>
        <w:jc w:val="both"/>
      </w:pPr>
      <w:r>
        <w:t xml:space="preserve">The cloud region where customer data is hosted. Example: AWS eu-central-1, Azure West Europe. Name the primary region; secondary or backup regions can be added comma-separated.</w:t>
      </w:r>
    </w:p>
    <w:p/>
    <w:p>
      <w:pPr>
        <w:pStyle w:val="Heading3"/>
      </w:pPr>
      <w:r>
        <w:rPr>
          <w:b/>
          <w:bCs/>
        </w:rPr>
        <w:t xml:space="preserve">Encryption at rest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Tick yes if customer data on disk is encrypted at rest with AES-256 or equivalent. Cloud-managed disk encryption (AWS EBS, Azure Disk Encryption) counts.</w:t>
      </w:r>
    </w:p>
    <w:p/>
    <w:p>
      <w:pPr>
        <w:pStyle w:val="Heading3"/>
      </w:pPr>
      <w:r>
        <w:rPr>
          <w:b/>
          <w:bCs/>
        </w:rPr>
        <w:t xml:space="preserve">Encryption in transit (TLS ≥ 1.2)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Tick yes if all customer-facing endpoints enforce TLS 1.2 or higher. TLS 1.3 is preferred. Plain HTTP must redirect to HTTPS.</w:t>
      </w:r>
    </w:p>
    <w:p/>
    <w:p>
      <w:pPr>
        <w:pStyle w:val="Heading3"/>
      </w:pPr>
      <w:r>
        <w:rPr>
          <w:b/>
          <w:bCs/>
        </w:rPr>
        <w:t xml:space="preserve">MFA enforced for all admin accounts</w:t>
      </w:r>
    </w:p>
    <w:p>
      <w:r>
        <w:rPr>
          <w:color w:val="666666"/>
          <w:sz w:val="18"/>
          <w:szCs w:val="18"/>
        </w:rPr>
        <w:t xml:space="preserve">[boolean]  Conditional  -  Legal basis: NIS2 Art. 21(2)(j) / ENISA TIG §11.3</w:t>
      </w:r>
    </w:p>
    <w:p>
      <w:pPr>
        <w:jc w:val="both"/>
      </w:pPr>
      <w:r>
        <w:t xml:space="preserve">Tick yes if every internal admin account on the SaaS platform must use MFA. Same standard as your internal admin policy.</w:t>
      </w:r>
    </w:p>
    <w:p/>
    <w:p>
      <w:pPr>
        <w:pStyle w:val="Heading3"/>
      </w:pPr>
      <w:r>
        <w:rPr>
          <w:b/>
          <w:bCs/>
        </w:rPr>
        <w:t xml:space="preserve">Recovery time objective (RTO) in hours</w:t>
      </w:r>
    </w:p>
    <w:p>
      <w:r>
        <w:rPr>
          <w:color w:val="666666"/>
          <w:sz w:val="18"/>
          <w:szCs w:val="18"/>
        </w:rPr>
        <w:t xml:space="preserve">[integer]  Conditional  -  Legal basis: NIS2 Art. 21(2)(c) / ENISA TIG §4</w:t>
      </w:r>
    </w:p>
    <w:p>
      <w:pPr>
        <w:jc w:val="both"/>
      </w:pPr>
      <w:r>
        <w:t xml:space="preserve">Maximum number of hours your service can be unavailable before recovery. Realistic SLA value, not aspirational. Common SaaS values: 4, 8, or 24 hours.</w:t>
      </w:r>
    </w:p>
    <w:p/>
    <w:p>
      <w:pPr>
        <w:pStyle w:val="Heading1"/>
      </w:pPr>
      <w:r>
        <w:rPr>
          <w:b/>
          <w:bCs/>
        </w:rPr>
        <w:t xml:space="preserve">4. On-Premise-specific  (4 fields)</w:t>
      </w:r>
    </w:p>
    <w:p>
      <w:pPr>
        <w:pStyle w:val="Heading3"/>
      </w:pPr>
      <w:r>
        <w:rPr>
          <w:b/>
          <w:bCs/>
        </w:rPr>
        <w:t xml:space="preserve">Provide a Software Bill of Materials (SBOM)</w:t>
      </w:r>
    </w:p>
    <w:p>
      <w:r>
        <w:rPr>
          <w:color w:val="666666"/>
          <w:sz w:val="18"/>
          <w:szCs w:val="18"/>
        </w:rPr>
        <w:t xml:space="preserve">[boolean]  Conditional  -  Legal basis: CRA / NIS2 Art. 21(2)(d)</w:t>
      </w:r>
    </w:p>
    <w:p>
      <w:pPr>
        <w:jc w:val="both"/>
      </w:pPr>
      <w:r>
        <w:t xml:space="preserve">Tick yes if you ship a Software Bill of Materials with every release. CycloneDX or SPDX are the standard formats. Mandatory under the Cyber Resilience Act for products placed on the EU market from December 2027.</w:t>
      </w:r>
    </w:p>
    <w:p/>
    <w:p>
      <w:pPr>
        <w:pStyle w:val="Heading3"/>
      </w:pPr>
      <w:r>
        <w:rPr>
          <w:b/>
          <w:bCs/>
        </w:rPr>
        <w:t xml:space="preserve">Releases are cryptographically signed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§6.5</w:t>
      </w:r>
    </w:p>
    <w:p>
      <w:pPr>
        <w:jc w:val="both"/>
      </w:pPr>
      <w:r>
        <w:t xml:space="preserve">Tick yes if every release artefact carries a cryptographic signature customers can verify. Signing keys are documented and rotated. Sigstore or PGP signatures both count.</w:t>
      </w:r>
    </w:p>
    <w:p/>
    <w:p>
      <w:pPr>
        <w:pStyle w:val="Heading3"/>
      </w:pPr>
      <w:r>
        <w:rPr>
          <w:b/>
          <w:bCs/>
        </w:rPr>
        <w:t xml:space="preserve">Published vulnerability disclosure policy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§3</w:t>
      </w:r>
    </w:p>
    <w:p>
      <w:pPr>
        <w:jc w:val="both"/>
      </w:pPr>
      <w:r>
        <w:t xml:space="preserve">Tick yes if you have a publicly documented way to report security vulnerabilities. A security.txt file under your domain (per RFC 9116) or a dedicated email like security@example.com is enough.</w:t>
      </w:r>
    </w:p>
    <w:p/>
    <w:p>
      <w:pPr>
        <w:pStyle w:val="Heading3"/>
      </w:pPr>
      <w:r>
        <w:rPr>
          <w:b/>
          <w:bCs/>
        </w:rPr>
        <w:t xml:space="preserve">Patch SLA for critical CVEs (hours)</w:t>
      </w:r>
    </w:p>
    <w:p>
      <w:r>
        <w:rPr>
          <w:color w:val="666666"/>
          <w:sz w:val="18"/>
          <w:szCs w:val="18"/>
        </w:rPr>
        <w:t xml:space="preserve">[integer]  Conditional  -  Legal basis: CIR 2024/2690 §5.1.4(f)</w:t>
      </w:r>
    </w:p>
    <w:p>
      <w:pPr>
        <w:jc w:val="both"/>
      </w:pPr>
      <w:r>
        <w:t xml:space="preserve">Hours from public CVE disclosure to a patched release for critical vulnerabilities (CVSS 9.0+). Realistic commitment, not aspirational. Common values: 24, 48, or 72 hours.</w:t>
      </w:r>
    </w:p>
    <w:p/>
    <w:p>
      <w:pPr>
        <w:pStyle w:val="Heading1"/>
      </w:pPr>
      <w:r>
        <w:rPr>
          <w:b/>
          <w:bCs/>
        </w:rPr>
        <w:t xml:space="preserve">5. Professional Services  (3 fields)</w:t>
      </w:r>
    </w:p>
    <w:p>
      <w:pPr>
        <w:pStyle w:val="Heading3"/>
      </w:pPr>
      <w:r>
        <w:rPr>
          <w:b/>
          <w:bCs/>
        </w:rPr>
        <w:t xml:space="preserve">Background check scope</w:t>
      </w:r>
    </w:p>
    <w:p>
      <w:r>
        <w:rPr>
          <w:color w:val="666666"/>
          <w:sz w:val="18"/>
          <w:szCs w:val="18"/>
        </w:rPr>
        <w:t xml:space="preserve">[string]  Conditional  -  Legal basis: NIS2 Art. 21(2)(i) / CIR 2024/2690 §5.1.4(c)</w:t>
      </w:r>
    </w:p>
    <w:p>
      <w:pPr>
        <w:jc w:val="both"/>
      </w:pPr>
      <w:r>
        <w:t xml:space="preserve">Describe how you vet consultants for sensitive roles. Example: criminal record extract for all consultants, plus reference checks for engagements involving classified data.</w:t>
      </w:r>
    </w:p>
    <w:p/>
    <w:p>
      <w:pPr>
        <w:pStyle w:val="Heading3"/>
      </w:pPr>
      <w:r>
        <w:rPr>
          <w:b/>
          <w:bCs/>
        </w:rPr>
        <w:t xml:space="preserve">NDA in place with all consultants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§11.4</w:t>
      </w:r>
    </w:p>
    <w:p>
      <w:pPr>
        <w:jc w:val="both"/>
      </w:pPr>
      <w:r>
        <w:t xml:space="preserve">Tick yes if every consultant signs a confidentiality agreement before being assigned to customer work. Either as part of the employment contract or as a separate NDA.</w:t>
      </w:r>
    </w:p>
    <w:p/>
    <w:p>
      <w:pPr>
        <w:pStyle w:val="Heading3"/>
      </w:pPr>
      <w:r>
        <w:rPr>
          <w:b/>
          <w:bCs/>
        </w:rPr>
        <w:t xml:space="preserve">Documented customer-premises behaviour policy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Tick yes if you have a written code of conduct for consultants working on customer premises: badge handling, locked-screen rule, what to do if data leaves the site.</w:t>
      </w:r>
    </w:p>
    <w:p/>
    <w:p>
      <w:pPr>
        <w:pStyle w:val="Heading1"/>
      </w:pPr>
      <w:r>
        <w:rPr>
          <w:b/>
          <w:bCs/>
        </w:rPr>
        <w:t xml:space="preserve">6. Managed Services  (3 fields)</w:t>
      </w:r>
    </w:p>
    <w:p>
      <w:pPr>
        <w:pStyle w:val="Heading3"/>
      </w:pPr>
      <w:r>
        <w:rPr>
          <w:b/>
          <w:bCs/>
        </w:rPr>
        <w:t xml:space="preserve">Privileged access management (PAM) in place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Tick yes if you use a privileged access management tool for administrative remote sessions on customer systems. Examples: CyberArk, BeyondTrust, Teleport. A logged jump-host setup counts.</w:t>
      </w:r>
    </w:p>
    <w:p/>
    <w:p>
      <w:pPr>
        <w:pStyle w:val="Heading3"/>
      </w:pPr>
      <w:r>
        <w:rPr>
          <w:b/>
          <w:bCs/>
        </w:rPr>
        <w:t xml:space="preserve">Admin sessions are recorded</w:t>
      </w:r>
    </w:p>
    <w:p>
      <w:r>
        <w:rPr>
          <w:color w:val="666666"/>
          <w:sz w:val="18"/>
          <w:szCs w:val="18"/>
        </w:rPr>
        <w:t xml:space="preserve">[boolean]  Conditional  -  Legal basis: NIS2 Art. 21(2)(f) / ENISA TIG §10</w:t>
      </w:r>
    </w:p>
    <w:p>
      <w:pPr>
        <w:jc w:val="both"/>
      </w:pPr>
      <w:r>
        <w:t xml:space="preserve">Tick yes if admin sessions on customer systems are recorded and retained for review. Common retention: 90 days to 1 year. Needed for forensic reconstruction after incidents.</w:t>
      </w:r>
    </w:p>
    <w:p/>
    <w:p>
      <w:pPr>
        <w:pStyle w:val="Heading3"/>
      </w:pPr>
      <w:r>
        <w:rPr>
          <w:b/>
          <w:bCs/>
        </w:rPr>
        <w:t xml:space="preserve">24/7 on-call coverage</w:t>
      </w:r>
    </w:p>
    <w:p>
      <w:r>
        <w:rPr>
          <w:color w:val="666666"/>
          <w:sz w:val="18"/>
          <w:szCs w:val="18"/>
        </w:rPr>
        <w:t xml:space="preserve">[boolean]  Conditional  -  Legal basis: NIS2 Art. 21(2)(b) / ENISA TIG §3</w:t>
      </w:r>
    </w:p>
    <w:p>
      <w:pPr>
        <w:jc w:val="both"/>
      </w:pPr>
      <w:r>
        <w:t xml:space="preserve">Tick yes if you operate a 24/7 on-call rotation that responds to security incidents on customer systems. Business-hours-only support does not qualify.</w:t>
      </w:r>
    </w:p>
    <w:p/>
    <w:p>
      <w:r>
        <w:rPr>
          <w:color w:val="888888"/>
          <w:sz w:val="18"/>
          <w:szCs w:val="18"/>
        </w:rPr>
        <w:t xml:space="preserve">License: MIT (schema) + CC BY 4.0 (content). Free to use, fork, and adapt.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 2 Supplier Questionnaire</dc:title>
  <dc:creator>NISD2</dc:creator>
  <dc:description>An open, EU-anchored questionnaire for NIS 2 supplier due diligence</dc:description>
  <cp:lastModifiedBy>Un-named</cp:lastModifiedBy>
  <cp:revision>1</cp:revision>
  <dcterms:created xsi:type="dcterms:W3CDTF">2026-06-20T21:17:29.996Z</dcterms:created>
  <dcterms:modified xsi:type="dcterms:W3CDTF">2026-06-20T21:17:29.996Z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